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00BD" w14:textId="7F35619C" w:rsidR="00B240A5" w:rsidRPr="00406ED8" w:rsidRDefault="005652C2" w:rsidP="00D57D4B">
      <w:pPr>
        <w:tabs>
          <w:tab w:val="left" w:pos="5670"/>
        </w:tabs>
      </w:pPr>
      <w:r>
        <w:t xml:space="preserve">                                                                                  </w:t>
      </w:r>
      <w:r w:rsidR="00406ED8">
        <w:t xml:space="preserve">     </w:t>
      </w:r>
      <w:r w:rsidR="00634D97" w:rsidRPr="004247AE">
        <w:rPr>
          <w:szCs w:val="24"/>
        </w:rPr>
        <w:t>PATVIRTINTA</w:t>
      </w:r>
    </w:p>
    <w:p w14:paraId="012500E9" w14:textId="37863C82" w:rsidR="00B240A5" w:rsidRDefault="005652C2" w:rsidP="00B240A5">
      <w:pPr>
        <w:ind w:left="5245"/>
        <w:rPr>
          <w:szCs w:val="24"/>
        </w:rPr>
      </w:pPr>
      <w:r>
        <w:rPr>
          <w:szCs w:val="24"/>
        </w:rPr>
        <w:t>V</w:t>
      </w:r>
      <w:r w:rsidR="00A05185">
        <w:rPr>
          <w:szCs w:val="24"/>
        </w:rPr>
        <w:t>ilniaus savivaldybės</w:t>
      </w:r>
    </w:p>
    <w:p w14:paraId="33CC0EA2" w14:textId="467378B5" w:rsidR="00A05185" w:rsidRDefault="00A05185" w:rsidP="00B240A5">
      <w:pPr>
        <w:ind w:left="5245"/>
        <w:rPr>
          <w:szCs w:val="24"/>
        </w:rPr>
      </w:pPr>
      <w:r>
        <w:rPr>
          <w:szCs w:val="24"/>
        </w:rPr>
        <w:t>Grigiškių lopšeli</w:t>
      </w:r>
      <w:r w:rsidR="007F5A84">
        <w:rPr>
          <w:szCs w:val="24"/>
        </w:rPr>
        <w:t>o</w:t>
      </w:r>
      <w:r>
        <w:rPr>
          <w:szCs w:val="24"/>
        </w:rPr>
        <w:t>-darželi</w:t>
      </w:r>
      <w:r w:rsidR="007F5A84">
        <w:rPr>
          <w:szCs w:val="24"/>
        </w:rPr>
        <w:t>o</w:t>
      </w:r>
      <w:r>
        <w:rPr>
          <w:szCs w:val="24"/>
        </w:rPr>
        <w:t xml:space="preserve"> ,,Pelėdžiukas“</w:t>
      </w:r>
    </w:p>
    <w:p w14:paraId="0E076D72" w14:textId="34AB220B" w:rsidR="00EE212F" w:rsidRDefault="00EE212F" w:rsidP="00B240A5">
      <w:pPr>
        <w:ind w:left="5245"/>
        <w:rPr>
          <w:szCs w:val="24"/>
        </w:rPr>
      </w:pPr>
      <w:r>
        <w:rPr>
          <w:szCs w:val="24"/>
        </w:rPr>
        <w:t>Direktoriaus įsakymu Nr. V-</w:t>
      </w:r>
      <w:r w:rsidR="000968FB">
        <w:rPr>
          <w:szCs w:val="24"/>
        </w:rPr>
        <w:t>164</w:t>
      </w:r>
      <w:r w:rsidR="007F5A84">
        <w:rPr>
          <w:szCs w:val="24"/>
        </w:rPr>
        <w:t>,</w:t>
      </w:r>
    </w:p>
    <w:p w14:paraId="253BCA01" w14:textId="77777777" w:rsidR="007F5A84" w:rsidRDefault="007F5A84" w:rsidP="007F5A84">
      <w:pPr>
        <w:ind w:left="5245"/>
        <w:rPr>
          <w:szCs w:val="24"/>
        </w:rPr>
      </w:pPr>
      <w:r>
        <w:rPr>
          <w:szCs w:val="24"/>
        </w:rPr>
        <w:t>2021 m. gruodžio 8 d.</w:t>
      </w:r>
    </w:p>
    <w:p w14:paraId="2445CFA6" w14:textId="77777777" w:rsidR="007F5A84" w:rsidRDefault="007F5A84" w:rsidP="00B240A5">
      <w:pPr>
        <w:ind w:left="5245"/>
        <w:rPr>
          <w:szCs w:val="24"/>
        </w:rPr>
      </w:pPr>
    </w:p>
    <w:p w14:paraId="651F8B87" w14:textId="77777777" w:rsidR="00A05185" w:rsidRPr="004247AE" w:rsidRDefault="00A05185" w:rsidP="00B240A5">
      <w:pPr>
        <w:ind w:left="5245"/>
        <w:rPr>
          <w:color w:val="FF0000"/>
          <w:szCs w:val="24"/>
        </w:rPr>
      </w:pPr>
    </w:p>
    <w:p w14:paraId="03A0A4F1" w14:textId="77777777" w:rsidR="00746191" w:rsidRDefault="00746191" w:rsidP="00EB6D52">
      <w:pPr>
        <w:jc w:val="center"/>
        <w:rPr>
          <w:b/>
          <w:szCs w:val="24"/>
        </w:rPr>
      </w:pPr>
      <w:bookmarkStart w:id="0" w:name="_Hlk46475730"/>
    </w:p>
    <w:p w14:paraId="0B938EDD" w14:textId="77777777" w:rsidR="00A05185" w:rsidRDefault="00F25576" w:rsidP="00EB6D52">
      <w:pPr>
        <w:jc w:val="center"/>
        <w:rPr>
          <w:b/>
          <w:szCs w:val="24"/>
        </w:rPr>
      </w:pPr>
      <w:r w:rsidRPr="004247AE">
        <w:rPr>
          <w:b/>
          <w:szCs w:val="24"/>
        </w:rPr>
        <w:t>STABILIOJO JODO PR</w:t>
      </w:r>
      <w:r w:rsidR="008A2762" w:rsidRPr="004247AE">
        <w:rPr>
          <w:b/>
          <w:szCs w:val="24"/>
        </w:rPr>
        <w:t>E</w:t>
      </w:r>
      <w:r w:rsidRPr="004247AE">
        <w:rPr>
          <w:b/>
          <w:szCs w:val="24"/>
        </w:rPr>
        <w:t xml:space="preserve">PARATŲ PASKIRSTYMO </w:t>
      </w:r>
      <w:r w:rsidR="00513BE1">
        <w:rPr>
          <w:b/>
          <w:szCs w:val="24"/>
        </w:rPr>
        <w:t xml:space="preserve">IR IŠDAVIMO </w:t>
      </w:r>
    </w:p>
    <w:p w14:paraId="44E4712B" w14:textId="4CCDBB34" w:rsidR="00B240A5" w:rsidRPr="004247AE" w:rsidRDefault="00F25576" w:rsidP="00EB6D52">
      <w:pPr>
        <w:jc w:val="center"/>
        <w:rPr>
          <w:b/>
          <w:szCs w:val="24"/>
        </w:rPr>
      </w:pPr>
      <w:r w:rsidRPr="004247AE">
        <w:rPr>
          <w:b/>
          <w:szCs w:val="24"/>
        </w:rPr>
        <w:t>TVARKOS APRAŠAS</w:t>
      </w:r>
    </w:p>
    <w:bookmarkEnd w:id="0"/>
    <w:p w14:paraId="0AD645C4" w14:textId="77777777" w:rsidR="008A2762" w:rsidRPr="004247AE" w:rsidRDefault="008A2762" w:rsidP="008A276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 w:cs="Courier New"/>
          <w:b/>
          <w:bCs/>
          <w:color w:val="000000"/>
          <w:kern w:val="2"/>
          <w:szCs w:val="24"/>
          <w:lang w:eastAsia="hi-IN" w:bidi="hi-IN"/>
        </w:rPr>
      </w:pPr>
    </w:p>
    <w:p w14:paraId="593F1AD6" w14:textId="54CE60D9" w:rsidR="008A2762" w:rsidRPr="00866EFE" w:rsidRDefault="00866EFE" w:rsidP="00866EFE">
      <w:pPr>
        <w:pStyle w:val="Sraopastraipa"/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 w:cs="Courier New"/>
          <w:b/>
          <w:bCs/>
          <w:color w:val="000000"/>
          <w:kern w:val="2"/>
          <w:sz w:val="24"/>
          <w:szCs w:val="24"/>
          <w:lang w:eastAsia="hi-IN" w:bidi="hi-IN"/>
        </w:rPr>
      </w:pPr>
      <w:r w:rsidRPr="00866EFE">
        <w:rPr>
          <w:rFonts w:eastAsia="SimSun" w:cs="Courier New"/>
          <w:b/>
          <w:bCs/>
          <w:color w:val="000000"/>
          <w:kern w:val="2"/>
          <w:sz w:val="24"/>
          <w:szCs w:val="24"/>
          <w:lang w:eastAsia="hi-IN" w:bidi="hi-IN"/>
        </w:rPr>
        <w:t>B</w:t>
      </w:r>
      <w:r w:rsidR="008A2762" w:rsidRPr="00866EFE">
        <w:rPr>
          <w:rFonts w:eastAsia="SimSun" w:cs="Courier New"/>
          <w:b/>
          <w:bCs/>
          <w:color w:val="000000"/>
          <w:kern w:val="2"/>
          <w:sz w:val="24"/>
          <w:szCs w:val="24"/>
          <w:lang w:eastAsia="hi-IN" w:bidi="hi-IN"/>
        </w:rPr>
        <w:t>ENDROSIOS NUOSTATOS</w:t>
      </w:r>
    </w:p>
    <w:p w14:paraId="64F56B24" w14:textId="77777777" w:rsidR="008A2762" w:rsidRPr="008A2762" w:rsidRDefault="008A2762" w:rsidP="008A276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eastAsia="SimSun" w:cs="Courier New"/>
          <w:b/>
          <w:bCs/>
          <w:color w:val="000000"/>
          <w:kern w:val="2"/>
          <w:szCs w:val="24"/>
          <w:lang w:eastAsia="hi-IN" w:bidi="hi-IN"/>
        </w:rPr>
      </w:pPr>
    </w:p>
    <w:p w14:paraId="361C3765" w14:textId="7A3C674E" w:rsidR="00286B24" w:rsidRPr="004247AE" w:rsidRDefault="00286B24" w:rsidP="00636DF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0" w:firstLine="1211"/>
        <w:jc w:val="both"/>
        <w:rPr>
          <w:rFonts w:eastAsia="SimSun" w:cs="Courier New"/>
          <w:color w:val="000000"/>
          <w:kern w:val="2"/>
          <w:szCs w:val="24"/>
          <w:lang w:eastAsia="hi-IN" w:bidi="hi-IN"/>
        </w:rPr>
      </w:pPr>
      <w:r w:rsidRPr="004247AE">
        <w:rPr>
          <w:rFonts w:eastAsia="SimSun" w:cs="Courier New"/>
          <w:color w:val="000000"/>
          <w:kern w:val="2"/>
          <w:szCs w:val="24"/>
          <w:lang w:eastAsia="hi-IN" w:bidi="hi-IN"/>
        </w:rPr>
        <w:t xml:space="preserve">Stabiliojo jodo preparatų paskirstymo </w:t>
      </w:r>
      <w:r w:rsidR="00513BE1">
        <w:rPr>
          <w:rFonts w:eastAsia="SimSun" w:cs="Courier New"/>
          <w:color w:val="000000"/>
          <w:kern w:val="2"/>
          <w:szCs w:val="24"/>
          <w:lang w:eastAsia="hi-IN" w:bidi="hi-IN"/>
        </w:rPr>
        <w:t xml:space="preserve">ir išdavimo </w:t>
      </w:r>
      <w:r w:rsidR="00A05185">
        <w:rPr>
          <w:rFonts w:eastAsia="SimSun" w:cs="Courier New"/>
          <w:color w:val="000000"/>
          <w:kern w:val="2"/>
          <w:szCs w:val="24"/>
          <w:lang w:eastAsia="hi-IN" w:bidi="hi-IN"/>
        </w:rPr>
        <w:t xml:space="preserve">Vilniaus savivaldybės Grigiškių lopšelio-darželio ,,Pelėdžiukas“ </w:t>
      </w:r>
      <w:r w:rsidR="006F7006">
        <w:rPr>
          <w:rFonts w:eastAsia="SimSun" w:cs="Courier New"/>
          <w:color w:val="000000"/>
          <w:kern w:val="2"/>
          <w:szCs w:val="24"/>
          <w:lang w:eastAsia="hi-IN" w:bidi="hi-IN"/>
        </w:rPr>
        <w:t xml:space="preserve"> tvarkos aprašas (toliau – Tvarkos a</w:t>
      </w:r>
      <w:r w:rsidRPr="004247AE">
        <w:rPr>
          <w:rFonts w:eastAsia="SimSun" w:cs="Courier New"/>
          <w:color w:val="000000"/>
          <w:kern w:val="2"/>
          <w:szCs w:val="24"/>
          <w:lang w:eastAsia="hi-IN" w:bidi="hi-IN"/>
        </w:rPr>
        <w:t xml:space="preserve">prašas) reglamentuoja </w:t>
      </w:r>
      <w:r w:rsidR="00A05185">
        <w:rPr>
          <w:rFonts w:eastAsia="SimSun" w:cs="Courier New"/>
          <w:color w:val="000000"/>
          <w:kern w:val="2"/>
          <w:szCs w:val="24"/>
          <w:lang w:eastAsia="hi-IN" w:bidi="hi-IN"/>
        </w:rPr>
        <w:t xml:space="preserve">įstaigos ugdytinių </w:t>
      </w:r>
      <w:r w:rsidRPr="004247AE">
        <w:rPr>
          <w:rFonts w:eastAsia="SimSun" w:cs="Courier New"/>
          <w:color w:val="000000"/>
          <w:kern w:val="2"/>
          <w:szCs w:val="24"/>
          <w:lang w:eastAsia="hi-IN" w:bidi="hi-IN"/>
        </w:rPr>
        <w:t>aprūpinimą stabiliojo jodo preparatais (toliau – kalio jodidas), siekiant išvengti radioaktyviojo jodo žalingo poveikio skydliaukei, kuris sunkios branduolinės avarijos Baltarusijos atominėje elektrinėje atveju gali patekti į aplinką.</w:t>
      </w:r>
    </w:p>
    <w:p w14:paraId="7385E612" w14:textId="7C0F1D0D" w:rsidR="00286B24" w:rsidRPr="004247AE" w:rsidRDefault="000702F6" w:rsidP="00636DF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0" w:firstLine="1211"/>
        <w:jc w:val="both"/>
        <w:rPr>
          <w:rFonts w:eastAsia="SimSun" w:cs="Mangal"/>
          <w:kern w:val="2"/>
          <w:szCs w:val="24"/>
          <w:lang w:eastAsia="lt-LT" w:bidi="hi-IN"/>
        </w:rPr>
      </w:pPr>
      <w:r w:rsidRPr="00636DF1">
        <w:rPr>
          <w:rFonts w:eastAsia="SimSun" w:cs="Mangal"/>
          <w:kern w:val="2"/>
          <w:szCs w:val="24"/>
          <w:lang w:eastAsia="lt-LT" w:bidi="hi-IN"/>
        </w:rPr>
        <w:t>Tvarkos a</w:t>
      </w:r>
      <w:r w:rsidR="008A2762" w:rsidRPr="00636DF1">
        <w:rPr>
          <w:rFonts w:eastAsia="SimSun" w:cs="Mangal"/>
          <w:kern w:val="2"/>
          <w:szCs w:val="24"/>
          <w:lang w:eastAsia="lt-LT" w:bidi="hi-IN"/>
        </w:rPr>
        <w:t xml:space="preserve">prašas parengtas vadovaujantis </w:t>
      </w:r>
      <w:r w:rsidR="008A2762" w:rsidRPr="00F63CFB">
        <w:rPr>
          <w:rFonts w:eastAsia="SimSun" w:cs="Mangal"/>
          <w:kern w:val="2"/>
          <w:szCs w:val="24"/>
          <w:lang w:eastAsia="lt-LT" w:bidi="hi-IN"/>
        </w:rPr>
        <w:t>Valstybini</w:t>
      </w:r>
      <w:r w:rsidR="00636DF1" w:rsidRPr="00F63CFB">
        <w:rPr>
          <w:rFonts w:eastAsia="SimSun" w:cs="Mangal"/>
          <w:kern w:val="2"/>
          <w:szCs w:val="24"/>
          <w:lang w:eastAsia="lt-LT" w:bidi="hi-IN"/>
        </w:rPr>
        <w:t>u</w:t>
      </w:r>
      <w:r w:rsidR="008A2762" w:rsidRPr="00F63CFB">
        <w:rPr>
          <w:rFonts w:eastAsia="SimSun" w:cs="Mangal"/>
          <w:kern w:val="2"/>
          <w:szCs w:val="24"/>
          <w:lang w:eastAsia="lt-LT" w:bidi="hi-IN"/>
        </w:rPr>
        <w:t xml:space="preserve"> gyventojų apsaugos plan</w:t>
      </w:r>
      <w:r w:rsidR="00B13314" w:rsidRPr="00F63CFB">
        <w:rPr>
          <w:rFonts w:eastAsia="SimSun" w:cs="Mangal"/>
          <w:kern w:val="2"/>
          <w:szCs w:val="24"/>
          <w:lang w:eastAsia="lt-LT" w:bidi="hi-IN"/>
        </w:rPr>
        <w:t>u</w:t>
      </w:r>
      <w:r w:rsidR="008A2762" w:rsidRPr="00F63CFB">
        <w:rPr>
          <w:rFonts w:eastAsia="SimSun" w:cs="Mangal"/>
          <w:kern w:val="2"/>
          <w:szCs w:val="24"/>
          <w:lang w:eastAsia="lt-LT" w:bidi="hi-IN"/>
        </w:rPr>
        <w:t xml:space="preserve"> branduolinės ar radiologinės avarijos atveju, patvirtint</w:t>
      </w:r>
      <w:r w:rsidR="00B13314" w:rsidRPr="00F63CFB">
        <w:rPr>
          <w:rFonts w:eastAsia="SimSun" w:cs="Mangal"/>
          <w:kern w:val="2"/>
          <w:szCs w:val="24"/>
          <w:lang w:eastAsia="lt-LT" w:bidi="hi-IN"/>
        </w:rPr>
        <w:t>u</w:t>
      </w:r>
      <w:r w:rsidR="008A2762" w:rsidRPr="00F63CFB">
        <w:rPr>
          <w:rFonts w:eastAsia="SimSun" w:cs="Mangal"/>
          <w:kern w:val="2"/>
          <w:szCs w:val="24"/>
          <w:lang w:eastAsia="lt-LT" w:bidi="hi-IN"/>
        </w:rPr>
        <w:t xml:space="preserve"> Lietuvos Respublikos Vyriausybės 2012 m. sausio 18 d. nutarimu Nr. 99 „Dėl Valstybinio gyventojų apsaugos plano branduolinės ar radiologinės avarijos atveju patvirtinimo“, </w:t>
      </w:r>
      <w:r w:rsidR="00286B24" w:rsidRPr="00F63CFB">
        <w:rPr>
          <w:rFonts w:eastAsia="SimSun" w:cs="Mangal"/>
          <w:kern w:val="2"/>
          <w:szCs w:val="24"/>
          <w:lang w:eastAsia="lt-LT" w:bidi="hi-IN"/>
        </w:rPr>
        <w:t>Lietuvos Respublikos sveikatos apsaugos ministro 2020 m. birželio 22 d</w:t>
      </w:r>
      <w:r w:rsidR="00286B24" w:rsidRPr="00F63CFB">
        <w:rPr>
          <w:rFonts w:eastAsia="SimSun" w:cs="Mangal"/>
          <w:color w:val="FF0000"/>
          <w:kern w:val="2"/>
          <w:szCs w:val="24"/>
          <w:lang w:eastAsia="lt-LT" w:bidi="hi-IN"/>
        </w:rPr>
        <w:t xml:space="preserve">. </w:t>
      </w:r>
      <w:r w:rsidR="00286B24" w:rsidRPr="00F63CFB">
        <w:rPr>
          <w:rFonts w:eastAsia="SimSun" w:cs="Mangal"/>
          <w:kern w:val="2"/>
          <w:szCs w:val="24"/>
          <w:lang w:eastAsia="lt-LT" w:bidi="hi-IN"/>
        </w:rPr>
        <w:t>įsakym</w:t>
      </w:r>
      <w:r w:rsidR="00B13314" w:rsidRPr="00F63CFB">
        <w:rPr>
          <w:rFonts w:eastAsia="SimSun" w:cs="Mangal"/>
          <w:kern w:val="2"/>
          <w:szCs w:val="24"/>
          <w:lang w:eastAsia="lt-LT" w:bidi="hi-IN"/>
        </w:rPr>
        <w:t>u</w:t>
      </w:r>
      <w:r w:rsidR="00286B24" w:rsidRPr="00F63CFB">
        <w:rPr>
          <w:rFonts w:eastAsia="SimSun" w:cs="Mangal"/>
          <w:kern w:val="2"/>
          <w:szCs w:val="24"/>
          <w:lang w:eastAsia="lt-LT" w:bidi="hi-IN"/>
        </w:rPr>
        <w:t xml:space="preserve"> Nr. V-1531 ,,Dėl stabiliojo jodo preparatų paskirstymo savivaldybėms, kurių teritorijos patenka į išplėstinio planavimo atstumą“ ir</w:t>
      </w:r>
      <w:r w:rsidR="00286B24" w:rsidRPr="00F63CFB">
        <w:rPr>
          <w:rFonts w:eastAsia="SimSun" w:cs="Mangal"/>
          <w:color w:val="FF0000"/>
          <w:kern w:val="2"/>
          <w:szCs w:val="24"/>
          <w:lang w:eastAsia="lt-LT" w:bidi="hi-IN"/>
        </w:rPr>
        <w:t xml:space="preserve"> </w:t>
      </w:r>
      <w:r w:rsidR="008A2762" w:rsidRPr="00F63CFB">
        <w:rPr>
          <w:rFonts w:eastAsia="SimSun" w:cs="Mangal"/>
          <w:kern w:val="2"/>
          <w:szCs w:val="24"/>
          <w:lang w:eastAsia="lt-LT" w:bidi="hi-IN"/>
        </w:rPr>
        <w:t xml:space="preserve">Lietuvos Respublikos sveikatos apsaugos ministro </w:t>
      </w:r>
      <w:r w:rsidR="0021459B">
        <w:rPr>
          <w:rFonts w:eastAsia="SimSun" w:cs="Mangal"/>
          <w:kern w:val="2"/>
          <w:szCs w:val="24"/>
          <w:lang w:eastAsia="lt-LT" w:bidi="hi-IN"/>
        </w:rPr>
        <w:t xml:space="preserve">      </w:t>
      </w:r>
      <w:r w:rsidR="008A2762" w:rsidRPr="00F63CFB">
        <w:rPr>
          <w:rFonts w:eastAsia="SimSun" w:cs="Mangal"/>
          <w:kern w:val="2"/>
          <w:szCs w:val="24"/>
          <w:lang w:eastAsia="lt-LT" w:bidi="hi-IN"/>
        </w:rPr>
        <w:t>2020 m. gegužės 20 d. įsakymu Nr. V-1237 „Dėl stabiliojo jodo preparatų paskirstymo savivaldybėms ir gyventojams tvarkos aprašo patvirtinimo“ patvirtintu Stabiliojo jodo preparatų paskirstymo savivaldybėms ir gyventojams tvarkos aprašu</w:t>
      </w:r>
      <w:r w:rsidR="00906A16" w:rsidRPr="00F63CFB">
        <w:rPr>
          <w:rFonts w:eastAsia="SimSun" w:cs="Mangal"/>
          <w:kern w:val="2"/>
          <w:szCs w:val="24"/>
          <w:lang w:eastAsia="lt-LT" w:bidi="hi-IN"/>
        </w:rPr>
        <w:t xml:space="preserve"> (toliau – Aprašas)</w:t>
      </w:r>
      <w:r w:rsidR="00636DF1" w:rsidRPr="00F63CFB">
        <w:rPr>
          <w:rFonts w:eastAsia="SimSun" w:cs="Mangal"/>
          <w:kern w:val="2"/>
          <w:szCs w:val="24"/>
          <w:lang w:eastAsia="lt-LT" w:bidi="hi-IN"/>
        </w:rPr>
        <w:t>,</w:t>
      </w:r>
      <w:r w:rsidR="008A2762" w:rsidRPr="00F63CFB">
        <w:rPr>
          <w:rFonts w:eastAsia="SimSun" w:cs="Mangal"/>
          <w:kern w:val="2"/>
          <w:szCs w:val="24"/>
          <w:lang w:eastAsia="lt-LT" w:bidi="hi-IN"/>
        </w:rPr>
        <w:t xml:space="preserve"> siek</w:t>
      </w:r>
      <w:r w:rsidR="00636DF1" w:rsidRPr="00F63CFB">
        <w:rPr>
          <w:rFonts w:eastAsia="SimSun" w:cs="Mangal"/>
          <w:kern w:val="2"/>
          <w:szCs w:val="24"/>
          <w:lang w:eastAsia="lt-LT" w:bidi="hi-IN"/>
        </w:rPr>
        <w:t>iant</w:t>
      </w:r>
      <w:r w:rsidR="008A2762" w:rsidRPr="00F63CFB">
        <w:rPr>
          <w:rFonts w:eastAsia="SimSun" w:cs="Mangal"/>
          <w:kern w:val="2"/>
          <w:szCs w:val="24"/>
          <w:lang w:eastAsia="lt-LT" w:bidi="hi-IN"/>
        </w:rPr>
        <w:t xml:space="preserve"> užtikrinti savivaldybės gyventojų aprūpinimą stabiliojo jodo preparatu branduolinės ar radiologinės avarijos</w:t>
      </w:r>
      <w:r w:rsidR="008A2762" w:rsidRPr="004247AE">
        <w:rPr>
          <w:rFonts w:eastAsia="SimSun" w:cs="Mangal"/>
          <w:kern w:val="2"/>
          <w:szCs w:val="24"/>
          <w:lang w:eastAsia="lt-LT" w:bidi="hi-IN"/>
        </w:rPr>
        <w:t xml:space="preserve"> branduolinės energetikos objekte atveju</w:t>
      </w:r>
      <w:r w:rsidR="008A2762" w:rsidRPr="004247AE">
        <w:rPr>
          <w:rFonts w:eastAsia="SimSun" w:cs="Courier New"/>
          <w:color w:val="000000"/>
          <w:kern w:val="2"/>
          <w:szCs w:val="24"/>
          <w:lang w:eastAsia="hi-IN" w:bidi="hi-IN"/>
        </w:rPr>
        <w:t xml:space="preserve">. </w:t>
      </w:r>
      <w:r>
        <w:rPr>
          <w:rFonts w:eastAsia="SimSun" w:cs="Mangal"/>
          <w:kern w:val="2"/>
          <w:szCs w:val="24"/>
          <w:lang w:eastAsia="lt-LT" w:bidi="hi-IN"/>
        </w:rPr>
        <w:t>Tvarkos a</w:t>
      </w:r>
      <w:r w:rsidR="008A2762" w:rsidRPr="008A2762">
        <w:rPr>
          <w:rFonts w:eastAsia="SimSun" w:cs="Mangal"/>
          <w:kern w:val="2"/>
          <w:szCs w:val="24"/>
          <w:lang w:eastAsia="lt-LT" w:bidi="hi-IN"/>
        </w:rPr>
        <w:t>praše vartojamos sąvokos atitinka šiame ir kituose Lietuvos Respublikos teisės aktuose vartojamas sąvokas.</w:t>
      </w:r>
    </w:p>
    <w:p w14:paraId="72D82C35" w14:textId="77777777" w:rsidR="00286B24" w:rsidRPr="004247AE" w:rsidRDefault="00286B24" w:rsidP="00F25576">
      <w:pPr>
        <w:ind w:firstLine="1134"/>
        <w:jc w:val="both"/>
        <w:rPr>
          <w:szCs w:val="24"/>
        </w:rPr>
      </w:pPr>
    </w:p>
    <w:p w14:paraId="6A24EE34" w14:textId="77777777" w:rsidR="00286B24" w:rsidRPr="004247AE" w:rsidRDefault="00286B24" w:rsidP="00EB6D52">
      <w:pPr>
        <w:widowControl w:val="0"/>
        <w:shd w:val="clear" w:color="auto" w:fill="FFFFFF"/>
        <w:tabs>
          <w:tab w:val="left" w:pos="1152"/>
          <w:tab w:val="left" w:pos="1701"/>
        </w:tabs>
        <w:suppressAutoHyphens/>
        <w:ind w:right="10"/>
        <w:jc w:val="center"/>
        <w:rPr>
          <w:rFonts w:eastAsia="SimSun" w:cs="Mangal"/>
          <w:b/>
          <w:kern w:val="2"/>
          <w:szCs w:val="24"/>
          <w:lang w:eastAsia="hi-IN" w:bidi="hi-IN"/>
        </w:rPr>
      </w:pPr>
      <w:bookmarkStart w:id="1" w:name="_Hlk46477592"/>
      <w:r w:rsidRPr="00286B24">
        <w:rPr>
          <w:rFonts w:eastAsia="SimSun" w:cs="Mangal"/>
          <w:b/>
          <w:kern w:val="2"/>
          <w:szCs w:val="24"/>
          <w:lang w:eastAsia="hi-IN" w:bidi="hi-IN"/>
        </w:rPr>
        <w:t xml:space="preserve">II. </w:t>
      </w:r>
      <w:r w:rsidR="00433718">
        <w:rPr>
          <w:rFonts w:eastAsia="SimSun" w:cs="Mangal"/>
          <w:b/>
          <w:kern w:val="2"/>
          <w:szCs w:val="24"/>
          <w:lang w:eastAsia="hi-IN" w:bidi="hi-IN"/>
        </w:rPr>
        <w:t>STABILIOJO JODO GAVIMO IR SAUGOJIMO ORGANIZAVIMAS</w:t>
      </w:r>
    </w:p>
    <w:bookmarkEnd w:id="1"/>
    <w:p w14:paraId="25D331F6" w14:textId="77777777" w:rsidR="00286B24" w:rsidRPr="004247AE" w:rsidRDefault="00286B24" w:rsidP="00286B24">
      <w:pPr>
        <w:widowControl w:val="0"/>
        <w:shd w:val="clear" w:color="auto" w:fill="FFFFFF"/>
        <w:tabs>
          <w:tab w:val="left" w:pos="1152"/>
        </w:tabs>
        <w:suppressAutoHyphens/>
        <w:spacing w:line="274" w:lineRule="exact"/>
        <w:ind w:right="10"/>
        <w:jc w:val="center"/>
        <w:rPr>
          <w:rFonts w:eastAsia="SimSun" w:cs="Mangal"/>
          <w:b/>
          <w:kern w:val="2"/>
          <w:szCs w:val="24"/>
          <w:lang w:eastAsia="hi-IN" w:bidi="hi-IN"/>
        </w:rPr>
      </w:pPr>
    </w:p>
    <w:p w14:paraId="32306184" w14:textId="532D3642" w:rsidR="00286B24" w:rsidRPr="004247AE" w:rsidRDefault="00286B24" w:rsidP="000330F8">
      <w:pPr>
        <w:widowControl w:val="0"/>
        <w:shd w:val="clear" w:color="auto" w:fill="FFFFFF"/>
        <w:tabs>
          <w:tab w:val="left" w:pos="1152"/>
        </w:tabs>
        <w:suppressAutoHyphens/>
        <w:spacing w:line="360" w:lineRule="auto"/>
        <w:ind w:right="10"/>
        <w:jc w:val="both"/>
        <w:rPr>
          <w:szCs w:val="24"/>
        </w:rPr>
      </w:pPr>
      <w:r w:rsidRPr="004247AE">
        <w:rPr>
          <w:rFonts w:eastAsia="SimSun" w:cs="Mangal"/>
          <w:b/>
          <w:kern w:val="2"/>
          <w:szCs w:val="24"/>
          <w:lang w:eastAsia="hi-IN" w:bidi="hi-IN"/>
        </w:rPr>
        <w:tab/>
      </w:r>
      <w:r w:rsidR="0021459B">
        <w:rPr>
          <w:rFonts w:eastAsia="SimSun" w:cs="Mangal"/>
          <w:bCs/>
          <w:kern w:val="2"/>
          <w:szCs w:val="24"/>
          <w:lang w:eastAsia="hi-IN" w:bidi="hi-IN"/>
        </w:rPr>
        <w:t xml:space="preserve">1. </w:t>
      </w:r>
      <w:r w:rsidRPr="004247AE">
        <w:rPr>
          <w:rFonts w:eastAsia="SimSun" w:cs="Mangal"/>
          <w:bCs/>
          <w:kern w:val="2"/>
          <w:szCs w:val="24"/>
          <w:lang w:eastAsia="hi-IN" w:bidi="hi-IN"/>
        </w:rPr>
        <w:t xml:space="preserve"> </w:t>
      </w:r>
      <w:r w:rsidR="00A05185">
        <w:rPr>
          <w:rFonts w:eastAsia="SimSun" w:cs="Mangal"/>
          <w:bCs/>
          <w:kern w:val="2"/>
          <w:szCs w:val="24"/>
          <w:lang w:eastAsia="hi-IN" w:bidi="hi-IN"/>
        </w:rPr>
        <w:t>Vilniaus savivaldybės Grigiškių lopšelio-darželio ,,Pelėdžiukas“</w:t>
      </w:r>
      <w:r w:rsidR="00616226">
        <w:rPr>
          <w:rFonts w:eastAsia="SimSun" w:cs="Mangal"/>
          <w:bCs/>
          <w:kern w:val="2"/>
          <w:szCs w:val="24"/>
          <w:lang w:eastAsia="hi-IN" w:bidi="hi-IN"/>
        </w:rPr>
        <w:t xml:space="preserve"> </w:t>
      </w:r>
      <w:r w:rsidR="007B7098">
        <w:rPr>
          <w:rFonts w:eastAsia="SimSun" w:cs="Mangal"/>
          <w:bCs/>
          <w:kern w:val="2"/>
          <w:szCs w:val="24"/>
          <w:lang w:eastAsia="hi-IN" w:bidi="hi-IN"/>
        </w:rPr>
        <w:t xml:space="preserve">gavo stabiliojo jodo preparatus (kalio jodido tablečių) ir įsipareigojo pagal Vilniaus miesto savivaldybės administracijos  </w:t>
      </w:r>
      <w:r w:rsidR="009A155A">
        <w:rPr>
          <w:rFonts w:eastAsia="SimSun" w:cs="Mangal"/>
          <w:bCs/>
          <w:kern w:val="2"/>
          <w:szCs w:val="24"/>
          <w:lang w:eastAsia="hi-IN" w:bidi="hi-IN"/>
        </w:rPr>
        <w:t xml:space="preserve">patvirtintu </w:t>
      </w:r>
    </w:p>
    <w:p w14:paraId="0519D2CF" w14:textId="4C4D2D6D" w:rsidR="00A95446" w:rsidRPr="004247AE" w:rsidRDefault="000330F8" w:rsidP="00A95446">
      <w:pPr>
        <w:widowControl w:val="0"/>
        <w:shd w:val="clear" w:color="auto" w:fill="FFFFFF"/>
        <w:tabs>
          <w:tab w:val="left" w:pos="1152"/>
        </w:tabs>
        <w:suppressAutoHyphens/>
        <w:spacing w:line="360" w:lineRule="auto"/>
        <w:ind w:right="10"/>
        <w:jc w:val="both"/>
        <w:rPr>
          <w:szCs w:val="24"/>
        </w:rPr>
      </w:pPr>
      <w:r w:rsidRPr="004247AE">
        <w:rPr>
          <w:szCs w:val="24"/>
        </w:rPr>
        <w:tab/>
      </w:r>
      <w:r w:rsidR="0021459B">
        <w:rPr>
          <w:szCs w:val="24"/>
        </w:rPr>
        <w:t>2</w:t>
      </w:r>
      <w:r w:rsidRPr="004247AE">
        <w:rPr>
          <w:szCs w:val="24"/>
        </w:rPr>
        <w:t xml:space="preserve">. </w:t>
      </w:r>
      <w:r w:rsidRPr="004247AE">
        <w:rPr>
          <w:bCs/>
          <w:szCs w:val="24"/>
        </w:rPr>
        <w:t>Kalio jodido preparatų atsargos, įsigytos iš biudžeto lėšų</w:t>
      </w:r>
      <w:r w:rsidRPr="00F63CFB">
        <w:rPr>
          <w:bCs/>
          <w:szCs w:val="24"/>
        </w:rPr>
        <w:t xml:space="preserve">, </w:t>
      </w:r>
      <w:r w:rsidR="00636DF1" w:rsidRPr="00F63CFB">
        <w:rPr>
          <w:bCs/>
          <w:szCs w:val="24"/>
        </w:rPr>
        <w:t>p</w:t>
      </w:r>
      <w:r w:rsidRPr="00F63CFB">
        <w:rPr>
          <w:bCs/>
          <w:szCs w:val="24"/>
        </w:rPr>
        <w:t>erdavimo</w:t>
      </w:r>
      <w:r w:rsidRPr="004247AE">
        <w:rPr>
          <w:bCs/>
          <w:szCs w:val="24"/>
        </w:rPr>
        <w:t>-priėmimo aktu yra perduodamos</w:t>
      </w:r>
      <w:r w:rsidRPr="004247AE">
        <w:rPr>
          <w:szCs w:val="24"/>
        </w:rPr>
        <w:t xml:space="preserve"> </w:t>
      </w:r>
      <w:r w:rsidR="005C440E">
        <w:rPr>
          <w:szCs w:val="24"/>
        </w:rPr>
        <w:t>Vilniaus savivaldybės Grigiškių lopšelio-darželio ,,Pelėdžiukas“ administracijai (toliau vadinama Administracija)</w:t>
      </w:r>
      <w:r w:rsidR="00A95446" w:rsidRPr="004247AE">
        <w:rPr>
          <w:szCs w:val="24"/>
        </w:rPr>
        <w:t xml:space="preserve"> ir </w:t>
      </w:r>
      <w:r w:rsidR="008E3799" w:rsidRPr="00746191">
        <w:rPr>
          <w:szCs w:val="24"/>
        </w:rPr>
        <w:t>saugomo</w:t>
      </w:r>
      <w:r w:rsidR="005C440E">
        <w:rPr>
          <w:szCs w:val="24"/>
        </w:rPr>
        <w:t>s įstaigos</w:t>
      </w:r>
      <w:r w:rsidR="00A95446" w:rsidRPr="004247AE">
        <w:rPr>
          <w:szCs w:val="24"/>
        </w:rPr>
        <w:t xml:space="preserve"> patalpose iki bus išdalintos </w:t>
      </w:r>
      <w:r w:rsidR="005C440E">
        <w:rPr>
          <w:szCs w:val="24"/>
        </w:rPr>
        <w:t>ugdytiniams</w:t>
      </w:r>
      <w:r w:rsidR="00A95446" w:rsidRPr="004247AE">
        <w:rPr>
          <w:szCs w:val="24"/>
        </w:rPr>
        <w:t>.</w:t>
      </w:r>
    </w:p>
    <w:p w14:paraId="4AB8F81C" w14:textId="77777777" w:rsidR="00A95446" w:rsidRPr="004247AE" w:rsidRDefault="00A95446" w:rsidP="00A95446">
      <w:pPr>
        <w:widowControl w:val="0"/>
        <w:shd w:val="clear" w:color="auto" w:fill="FFFFFF"/>
        <w:tabs>
          <w:tab w:val="left" w:pos="1152"/>
        </w:tabs>
        <w:suppressAutoHyphens/>
        <w:spacing w:line="360" w:lineRule="auto"/>
        <w:ind w:right="10"/>
        <w:jc w:val="both"/>
        <w:rPr>
          <w:szCs w:val="24"/>
        </w:rPr>
      </w:pPr>
    </w:p>
    <w:p w14:paraId="35132AC1" w14:textId="77777777" w:rsidR="00A95446" w:rsidRPr="00A95446" w:rsidRDefault="00A95446" w:rsidP="004247AE">
      <w:pPr>
        <w:widowControl w:val="0"/>
        <w:shd w:val="clear" w:color="auto" w:fill="FFFFFF"/>
        <w:tabs>
          <w:tab w:val="left" w:pos="1152"/>
        </w:tabs>
        <w:suppressAutoHyphens/>
        <w:ind w:right="10"/>
        <w:jc w:val="center"/>
        <w:rPr>
          <w:szCs w:val="24"/>
        </w:rPr>
      </w:pPr>
      <w:r w:rsidRPr="00A95446">
        <w:rPr>
          <w:b/>
          <w:szCs w:val="24"/>
        </w:rPr>
        <w:lastRenderedPageBreak/>
        <w:t>II</w:t>
      </w:r>
      <w:r w:rsidRPr="004247AE">
        <w:rPr>
          <w:b/>
          <w:szCs w:val="24"/>
        </w:rPr>
        <w:t>I</w:t>
      </w:r>
      <w:r w:rsidRPr="00A95446">
        <w:rPr>
          <w:b/>
          <w:szCs w:val="24"/>
        </w:rPr>
        <w:t xml:space="preserve">. STABILIOJO JODO </w:t>
      </w:r>
      <w:r w:rsidR="003B5FAA" w:rsidRPr="004247AE">
        <w:rPr>
          <w:b/>
          <w:szCs w:val="24"/>
        </w:rPr>
        <w:t xml:space="preserve">PREPARATŲ </w:t>
      </w:r>
      <w:r w:rsidR="004247AE">
        <w:rPr>
          <w:b/>
          <w:szCs w:val="24"/>
        </w:rPr>
        <w:t xml:space="preserve">IŠDAVIMO </w:t>
      </w:r>
      <w:r w:rsidR="00433718">
        <w:rPr>
          <w:b/>
          <w:szCs w:val="24"/>
        </w:rPr>
        <w:t>ORGANIZAVIMAS</w:t>
      </w:r>
    </w:p>
    <w:p w14:paraId="3B5C0D1F" w14:textId="77777777" w:rsidR="00A95446" w:rsidRPr="004247AE" w:rsidRDefault="00A95446" w:rsidP="00286B24">
      <w:pPr>
        <w:ind w:firstLine="1134"/>
        <w:jc w:val="both"/>
        <w:rPr>
          <w:szCs w:val="24"/>
        </w:rPr>
      </w:pPr>
    </w:p>
    <w:p w14:paraId="4EFC79E8" w14:textId="6ADA65E5" w:rsidR="00906A16" w:rsidRPr="004247AE" w:rsidRDefault="005C440E" w:rsidP="00906A16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  <w:lang w:val="en-US"/>
        </w:rPr>
        <w:t>1.</w:t>
      </w:r>
      <w:r w:rsidR="00A95446" w:rsidRPr="00F63CFB">
        <w:rPr>
          <w:szCs w:val="24"/>
        </w:rPr>
        <w:t xml:space="preserve"> Kalio </w:t>
      </w:r>
      <w:r w:rsidR="00906A16" w:rsidRPr="00F63CFB">
        <w:rPr>
          <w:szCs w:val="24"/>
        </w:rPr>
        <w:t>j</w:t>
      </w:r>
      <w:r w:rsidR="00A95446" w:rsidRPr="00F63CFB">
        <w:rPr>
          <w:szCs w:val="24"/>
        </w:rPr>
        <w:t xml:space="preserve">odidą </w:t>
      </w:r>
      <w:r w:rsidR="00616226" w:rsidRPr="00F63CFB">
        <w:rPr>
          <w:szCs w:val="24"/>
        </w:rPr>
        <w:t xml:space="preserve">Administracija </w:t>
      </w:r>
      <w:r w:rsidR="00286B24" w:rsidRPr="00F63CFB">
        <w:rPr>
          <w:szCs w:val="24"/>
        </w:rPr>
        <w:t xml:space="preserve">padalina </w:t>
      </w:r>
      <w:r>
        <w:rPr>
          <w:szCs w:val="24"/>
        </w:rPr>
        <w:t>grupėms</w:t>
      </w:r>
      <w:r w:rsidR="00286B24" w:rsidRPr="00F63CFB">
        <w:rPr>
          <w:szCs w:val="24"/>
        </w:rPr>
        <w:t>, vadovau</w:t>
      </w:r>
      <w:r w:rsidR="00C9387E" w:rsidRPr="00F63CFB">
        <w:rPr>
          <w:szCs w:val="24"/>
        </w:rPr>
        <w:t>damasi</w:t>
      </w:r>
      <w:r w:rsidR="00286B24" w:rsidRPr="00286B24">
        <w:rPr>
          <w:szCs w:val="24"/>
        </w:rPr>
        <w:t xml:space="preserve"> Aprašo</w:t>
      </w:r>
      <w:r w:rsidR="00440596">
        <w:rPr>
          <w:szCs w:val="24"/>
        </w:rPr>
        <w:t xml:space="preserve"> </w:t>
      </w:r>
      <w:r w:rsidR="00440596">
        <w:rPr>
          <w:szCs w:val="24"/>
          <w:lang w:val="en-US"/>
        </w:rPr>
        <w:t>1</w:t>
      </w:r>
      <w:r w:rsidR="00286B24" w:rsidRPr="00286B24">
        <w:rPr>
          <w:szCs w:val="24"/>
        </w:rPr>
        <w:t xml:space="preserve"> </w:t>
      </w:r>
      <w:proofErr w:type="gramStart"/>
      <w:r w:rsidR="006458E0" w:rsidRPr="004247AE">
        <w:rPr>
          <w:szCs w:val="24"/>
        </w:rPr>
        <w:t xml:space="preserve">priedo </w:t>
      </w:r>
      <w:r w:rsidR="00286B24" w:rsidRPr="00286B24">
        <w:rPr>
          <w:szCs w:val="24"/>
        </w:rPr>
        <w:t xml:space="preserve"> nurodytais</w:t>
      </w:r>
      <w:proofErr w:type="gramEnd"/>
      <w:r w:rsidR="00286B24" w:rsidRPr="00286B24">
        <w:rPr>
          <w:szCs w:val="24"/>
        </w:rPr>
        <w:t xml:space="preserve"> poreikiais</w:t>
      </w:r>
      <w:r>
        <w:rPr>
          <w:szCs w:val="24"/>
        </w:rPr>
        <w:t>.</w:t>
      </w:r>
    </w:p>
    <w:p w14:paraId="46DDA15B" w14:textId="5783EADD" w:rsidR="006458E0" w:rsidRPr="004247AE" w:rsidRDefault="005C440E" w:rsidP="00906A16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  <w:lang w:val="en-US"/>
        </w:rPr>
        <w:t xml:space="preserve">2. </w:t>
      </w:r>
      <w:r w:rsidR="005C40C4" w:rsidRPr="004247AE">
        <w:rPr>
          <w:szCs w:val="24"/>
        </w:rPr>
        <w:t xml:space="preserve"> Kalio jodido </w:t>
      </w:r>
      <w:r w:rsidR="006458E0" w:rsidRPr="004247AE">
        <w:rPr>
          <w:szCs w:val="24"/>
        </w:rPr>
        <w:t xml:space="preserve">vienkartinis paros </w:t>
      </w:r>
      <w:r w:rsidR="005C40C4" w:rsidRPr="004247AE">
        <w:rPr>
          <w:szCs w:val="24"/>
        </w:rPr>
        <w:t>poreikis</w:t>
      </w:r>
      <w:r w:rsidR="006458E0" w:rsidRPr="004247AE">
        <w:rPr>
          <w:szCs w:val="24"/>
        </w:rPr>
        <w:t xml:space="preserve"> įvairioms amžiaus </w:t>
      </w:r>
      <w:r w:rsidR="003B5FAA" w:rsidRPr="004247AE">
        <w:rPr>
          <w:szCs w:val="24"/>
        </w:rPr>
        <w:t>g</w:t>
      </w:r>
      <w:r w:rsidR="006458E0" w:rsidRPr="004247AE">
        <w:rPr>
          <w:szCs w:val="24"/>
        </w:rPr>
        <w:t>rupėms:</w:t>
      </w:r>
    </w:p>
    <w:p w14:paraId="3F84055D" w14:textId="1D97C211" w:rsidR="006458E0" w:rsidRPr="004247AE" w:rsidRDefault="005C440E" w:rsidP="00906A16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2</w:t>
      </w:r>
      <w:r w:rsidR="006458E0" w:rsidRPr="004247AE">
        <w:rPr>
          <w:szCs w:val="24"/>
        </w:rPr>
        <w:t>.1. ketvirtadalis tabletės (16 mg) nauj</w:t>
      </w:r>
      <w:r w:rsidR="006F7006">
        <w:rPr>
          <w:szCs w:val="24"/>
        </w:rPr>
        <w:t xml:space="preserve">agimiams ir kūdikiams iki 1 </w:t>
      </w:r>
      <w:proofErr w:type="spellStart"/>
      <w:r w:rsidR="006F7006">
        <w:rPr>
          <w:szCs w:val="24"/>
        </w:rPr>
        <w:t>mėn</w:t>
      </w:r>
      <w:proofErr w:type="spellEnd"/>
      <w:r w:rsidR="006F7006">
        <w:rPr>
          <w:szCs w:val="24"/>
        </w:rPr>
        <w:t>;</w:t>
      </w:r>
    </w:p>
    <w:p w14:paraId="46CE8A71" w14:textId="37934B88" w:rsidR="006458E0" w:rsidRPr="004247AE" w:rsidRDefault="005C440E" w:rsidP="00906A16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2</w:t>
      </w:r>
      <w:r w:rsidR="006458E0" w:rsidRPr="004247AE">
        <w:rPr>
          <w:szCs w:val="24"/>
        </w:rPr>
        <w:t>.2. pusė tabletės (32 mg) kūdikiams nuo 1 mėn. iki 3 metų;</w:t>
      </w:r>
    </w:p>
    <w:p w14:paraId="7CA1D9BA" w14:textId="37F8B6B4" w:rsidR="006458E0" w:rsidRPr="004247AE" w:rsidRDefault="005C440E" w:rsidP="00906A16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2</w:t>
      </w:r>
      <w:r w:rsidR="006458E0" w:rsidRPr="004247AE">
        <w:rPr>
          <w:szCs w:val="24"/>
        </w:rPr>
        <w:t>.3. viena tabletė (65 mg) vaikams nuo 3 iki 12 metų;</w:t>
      </w:r>
    </w:p>
    <w:p w14:paraId="682ABC1D" w14:textId="38C4214D" w:rsidR="006458E0" w:rsidRPr="004247AE" w:rsidRDefault="005C440E" w:rsidP="00906A16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2</w:t>
      </w:r>
      <w:r w:rsidR="006458E0" w:rsidRPr="004247AE">
        <w:rPr>
          <w:szCs w:val="24"/>
        </w:rPr>
        <w:t>.4. dvi tabletės (130 mg) vaikams nuo 12 metų ir suaugusiems.</w:t>
      </w:r>
    </w:p>
    <w:p w14:paraId="728C50B5" w14:textId="10FA8D51" w:rsidR="003B5FAA" w:rsidRPr="00FC000F" w:rsidRDefault="005C440E" w:rsidP="00FC000F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3</w:t>
      </w:r>
      <w:r w:rsidR="0071584D">
        <w:rPr>
          <w:szCs w:val="24"/>
        </w:rPr>
        <w:t xml:space="preserve">. Apie kalio jodido išdavimą </w:t>
      </w:r>
      <w:r w:rsidR="00FC000F">
        <w:rPr>
          <w:szCs w:val="24"/>
        </w:rPr>
        <w:t>ugdytiniams</w:t>
      </w:r>
      <w:r w:rsidR="0071584D">
        <w:rPr>
          <w:szCs w:val="24"/>
        </w:rPr>
        <w:t xml:space="preserve">, Administracija  informuoja </w:t>
      </w:r>
      <w:r w:rsidR="00E5225C">
        <w:rPr>
          <w:szCs w:val="24"/>
        </w:rPr>
        <w:t xml:space="preserve">interneto </w:t>
      </w:r>
      <w:r w:rsidR="0071584D">
        <w:rPr>
          <w:szCs w:val="24"/>
        </w:rPr>
        <w:t>svetainėj</w:t>
      </w:r>
      <w:r w:rsidR="00FC000F">
        <w:rPr>
          <w:szCs w:val="24"/>
        </w:rPr>
        <w:t xml:space="preserve">e </w:t>
      </w:r>
      <w:r w:rsidR="0071584D">
        <w:rPr>
          <w:szCs w:val="24"/>
        </w:rPr>
        <w:t>ir socialiniuose tinkl</w:t>
      </w:r>
      <w:r w:rsidR="00FC000F">
        <w:rPr>
          <w:szCs w:val="24"/>
        </w:rPr>
        <w:t>e.</w:t>
      </w:r>
    </w:p>
    <w:p w14:paraId="2B1DA5F3" w14:textId="77777777" w:rsidR="00746191" w:rsidRDefault="00746191" w:rsidP="002012FA">
      <w:pPr>
        <w:spacing w:line="360" w:lineRule="auto"/>
        <w:jc w:val="center"/>
        <w:rPr>
          <w:b/>
          <w:szCs w:val="24"/>
        </w:rPr>
      </w:pPr>
    </w:p>
    <w:p w14:paraId="2B74187F" w14:textId="31E586E7" w:rsidR="002012FA" w:rsidRDefault="002012FA" w:rsidP="002012FA">
      <w:pPr>
        <w:spacing w:line="360" w:lineRule="auto"/>
        <w:jc w:val="center"/>
        <w:rPr>
          <w:b/>
          <w:szCs w:val="24"/>
        </w:rPr>
      </w:pPr>
      <w:r w:rsidRPr="002012FA">
        <w:rPr>
          <w:b/>
          <w:szCs w:val="24"/>
        </w:rPr>
        <w:t>IV. BAIGIAMOSIOS NUOSTATOS</w:t>
      </w:r>
    </w:p>
    <w:p w14:paraId="4D752156" w14:textId="77777777" w:rsidR="00254CCD" w:rsidRPr="002012FA" w:rsidRDefault="00254CCD" w:rsidP="002012FA">
      <w:pPr>
        <w:spacing w:line="360" w:lineRule="auto"/>
        <w:jc w:val="center"/>
        <w:rPr>
          <w:b/>
          <w:szCs w:val="24"/>
        </w:rPr>
      </w:pPr>
    </w:p>
    <w:p w14:paraId="1FDC82FA" w14:textId="56287F49" w:rsidR="009205C9" w:rsidRDefault="002012FA" w:rsidP="00D57D4B">
      <w:pPr>
        <w:spacing w:line="360" w:lineRule="auto"/>
        <w:ind w:firstLine="720"/>
        <w:jc w:val="both"/>
        <w:rPr>
          <w:szCs w:val="24"/>
        </w:rPr>
        <w:sectPr w:rsidR="009205C9" w:rsidSect="00D221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720" w:left="1701" w:header="709" w:footer="709" w:gutter="0"/>
          <w:pgNumType w:start="1"/>
          <w:cols w:space="708"/>
          <w:titlePg/>
          <w:docGrid w:linePitch="360"/>
        </w:sectPr>
      </w:pPr>
      <w:r>
        <w:rPr>
          <w:szCs w:val="24"/>
        </w:rPr>
        <w:t>1.</w:t>
      </w:r>
      <w:r w:rsidR="003D5F42">
        <w:rPr>
          <w:szCs w:val="24"/>
        </w:rPr>
        <w:t xml:space="preserve"> </w:t>
      </w:r>
      <w:r w:rsidR="00FC000F">
        <w:rPr>
          <w:szCs w:val="24"/>
        </w:rPr>
        <w:t xml:space="preserve">Administracija, </w:t>
      </w:r>
      <w:r w:rsidR="003D5F42">
        <w:rPr>
          <w:szCs w:val="24"/>
        </w:rPr>
        <w:t>i</w:t>
      </w:r>
      <w:r w:rsidR="0048492C">
        <w:rPr>
          <w:szCs w:val="24"/>
        </w:rPr>
        <w:t>šduodam</w:t>
      </w:r>
      <w:r w:rsidR="00FC000F">
        <w:rPr>
          <w:szCs w:val="24"/>
        </w:rPr>
        <w:t>a</w:t>
      </w:r>
      <w:r w:rsidR="0048492C">
        <w:rPr>
          <w:szCs w:val="24"/>
        </w:rPr>
        <w:t xml:space="preserve"> kalio jodidą</w:t>
      </w:r>
      <w:r w:rsidR="003D5F42">
        <w:rPr>
          <w:szCs w:val="24"/>
        </w:rPr>
        <w:t xml:space="preserve"> patikslina </w:t>
      </w:r>
      <w:r w:rsidR="00FC000F">
        <w:rPr>
          <w:szCs w:val="24"/>
        </w:rPr>
        <w:t xml:space="preserve">visų grupių ikimokyklinukų ir </w:t>
      </w:r>
      <w:proofErr w:type="spellStart"/>
      <w:r w:rsidR="00FC000F">
        <w:rPr>
          <w:szCs w:val="24"/>
        </w:rPr>
        <w:t>priešmokyklinukų</w:t>
      </w:r>
      <w:proofErr w:type="spellEnd"/>
      <w:r w:rsidR="00EC2D68">
        <w:rPr>
          <w:szCs w:val="24"/>
        </w:rPr>
        <w:t xml:space="preserve"> tėvų, vaikų atstovų  sutikimą davusių</w:t>
      </w:r>
      <w:r w:rsidR="00FC000F">
        <w:rPr>
          <w:szCs w:val="24"/>
        </w:rPr>
        <w:t xml:space="preserve"> </w:t>
      </w:r>
      <w:r w:rsidR="0048492C">
        <w:rPr>
          <w:szCs w:val="24"/>
        </w:rPr>
        <w:t>sąrašus (2</w:t>
      </w:r>
      <w:r w:rsidR="003D5F42">
        <w:rPr>
          <w:szCs w:val="24"/>
        </w:rPr>
        <w:t xml:space="preserve"> priedas).</w:t>
      </w:r>
    </w:p>
    <w:p w14:paraId="69996531" w14:textId="2864ACDC" w:rsidR="0061280C" w:rsidRDefault="0061280C" w:rsidP="0061280C">
      <w:pPr>
        <w:ind w:left="10773"/>
        <w:rPr>
          <w:szCs w:val="24"/>
        </w:rPr>
      </w:pPr>
      <w:r w:rsidRPr="004247AE">
        <w:rPr>
          <w:szCs w:val="24"/>
        </w:rPr>
        <w:lastRenderedPageBreak/>
        <w:t xml:space="preserve">Stabiliojo jodo preparatų paskirstymo </w:t>
      </w:r>
      <w:r>
        <w:rPr>
          <w:szCs w:val="24"/>
        </w:rPr>
        <w:t xml:space="preserve">ir išdavimo </w:t>
      </w:r>
      <w:r w:rsidRPr="004247AE">
        <w:rPr>
          <w:szCs w:val="24"/>
        </w:rPr>
        <w:t xml:space="preserve">tvarkos aprašo </w:t>
      </w:r>
    </w:p>
    <w:p w14:paraId="6783BD91" w14:textId="77777777" w:rsidR="00690C8E" w:rsidRPr="004247AE" w:rsidRDefault="00690C8E" w:rsidP="00690C8E">
      <w:pPr>
        <w:ind w:left="10773"/>
        <w:rPr>
          <w:szCs w:val="24"/>
        </w:rPr>
      </w:pPr>
      <w:r>
        <w:rPr>
          <w:szCs w:val="24"/>
        </w:rPr>
        <w:t>(Įsak.Nr.V-164, 2021-12-08),</w:t>
      </w:r>
    </w:p>
    <w:p w14:paraId="3CCC07BB" w14:textId="77777777" w:rsidR="0061280C" w:rsidRDefault="0061280C" w:rsidP="0061280C">
      <w:pPr>
        <w:spacing w:line="276" w:lineRule="auto"/>
        <w:ind w:left="10773"/>
        <w:rPr>
          <w:szCs w:val="24"/>
        </w:rPr>
      </w:pPr>
      <w:r w:rsidRPr="007519EC">
        <w:rPr>
          <w:szCs w:val="24"/>
        </w:rPr>
        <w:t>1 priedas</w:t>
      </w:r>
    </w:p>
    <w:p w14:paraId="7A515F3B" w14:textId="77777777" w:rsidR="0061280C" w:rsidRDefault="0061280C" w:rsidP="0061280C">
      <w:pPr>
        <w:spacing w:line="276" w:lineRule="auto"/>
        <w:ind w:left="5245"/>
        <w:jc w:val="center"/>
        <w:rPr>
          <w:szCs w:val="24"/>
        </w:rPr>
      </w:pPr>
    </w:p>
    <w:p w14:paraId="1EBF5385" w14:textId="11257B52" w:rsidR="0061280C" w:rsidRPr="009205C9" w:rsidRDefault="00FC000F" w:rsidP="0061280C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VILNIAUS</w:t>
      </w:r>
      <w:r w:rsidR="0061280C" w:rsidRPr="00F63CFB">
        <w:rPr>
          <w:b/>
          <w:szCs w:val="24"/>
        </w:rPr>
        <w:t xml:space="preserve"> SAVIVALDYBĖS </w:t>
      </w:r>
      <w:r>
        <w:rPr>
          <w:b/>
          <w:szCs w:val="24"/>
        </w:rPr>
        <w:t xml:space="preserve">GRIGIŠKIŲ LOPŠELIO-DARŽELIO ,,PELĖDŽIUKAS“ </w:t>
      </w:r>
      <w:r w:rsidR="00440596">
        <w:rPr>
          <w:b/>
          <w:szCs w:val="24"/>
        </w:rPr>
        <w:t xml:space="preserve">KŪDIKIŲ NUO </w:t>
      </w:r>
      <w:r w:rsidR="00440596">
        <w:rPr>
          <w:b/>
          <w:szCs w:val="24"/>
          <w:lang w:val="en-US"/>
        </w:rPr>
        <w:t>1 IKI 3 MET</w:t>
      </w:r>
      <w:r w:rsidR="00440596">
        <w:rPr>
          <w:b/>
          <w:szCs w:val="24"/>
        </w:rPr>
        <w:t xml:space="preserve">Ų, </w:t>
      </w:r>
      <w:r w:rsidR="0061280C" w:rsidRPr="00F63CFB">
        <w:rPr>
          <w:b/>
          <w:szCs w:val="24"/>
        </w:rPr>
        <w:t>VAIK</w:t>
      </w:r>
      <w:r w:rsidR="00C9387E" w:rsidRPr="00F63CFB">
        <w:rPr>
          <w:b/>
          <w:szCs w:val="24"/>
        </w:rPr>
        <w:t xml:space="preserve">Ų </w:t>
      </w:r>
      <w:r w:rsidR="0061280C" w:rsidRPr="00F63CFB">
        <w:rPr>
          <w:b/>
          <w:szCs w:val="24"/>
        </w:rPr>
        <w:t>NUO 3 IKI 12 METŲ, KURIEMS IŠDUOTAS</w:t>
      </w:r>
      <w:r w:rsidR="0061280C" w:rsidRPr="00F63CFB">
        <w:rPr>
          <w:szCs w:val="24"/>
        </w:rPr>
        <w:t xml:space="preserve"> </w:t>
      </w:r>
      <w:r w:rsidR="0061280C" w:rsidRPr="00F63CFB">
        <w:rPr>
          <w:b/>
          <w:szCs w:val="24"/>
        </w:rPr>
        <w:t>STABILIOJO JODO PREPARATAS (KALIO JODIDAS) SĄRAŠAS</w:t>
      </w:r>
    </w:p>
    <w:p w14:paraId="2CF3DD2D" w14:textId="77777777" w:rsidR="0061280C" w:rsidRDefault="0061280C" w:rsidP="0061280C">
      <w:pPr>
        <w:jc w:val="center"/>
        <w:rPr>
          <w:b/>
          <w:szCs w:val="24"/>
        </w:rPr>
      </w:pPr>
    </w:p>
    <w:tbl>
      <w:tblPr>
        <w:tblStyle w:val="Lentelstinklelis"/>
        <w:tblW w:w="15860" w:type="dxa"/>
        <w:tblInd w:w="-147" w:type="dxa"/>
        <w:tblLook w:val="04A0" w:firstRow="1" w:lastRow="0" w:firstColumn="1" w:lastColumn="0" w:noHBand="0" w:noVBand="1"/>
      </w:tblPr>
      <w:tblGrid>
        <w:gridCol w:w="982"/>
        <w:gridCol w:w="3370"/>
        <w:gridCol w:w="1412"/>
        <w:gridCol w:w="2458"/>
        <w:gridCol w:w="1843"/>
        <w:gridCol w:w="2410"/>
        <w:gridCol w:w="1491"/>
        <w:gridCol w:w="1894"/>
      </w:tblGrid>
      <w:tr w:rsidR="00EC2D68" w14:paraId="0DA1B744" w14:textId="77777777" w:rsidTr="007D2EE2">
        <w:trPr>
          <w:trHeight w:val="522"/>
        </w:trPr>
        <w:tc>
          <w:tcPr>
            <w:tcW w:w="982" w:type="dxa"/>
            <w:vMerge w:val="restart"/>
            <w:vAlign w:val="center"/>
          </w:tcPr>
          <w:p w14:paraId="2278C23E" w14:textId="77777777" w:rsidR="00F6197F" w:rsidRDefault="00F6197F" w:rsidP="007D2E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</w:t>
            </w:r>
          </w:p>
          <w:p w14:paraId="0DC09586" w14:textId="77777777" w:rsidR="00F6197F" w:rsidRDefault="00746191" w:rsidP="007D2E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="00F6197F">
              <w:rPr>
                <w:b/>
                <w:szCs w:val="24"/>
              </w:rPr>
              <w:t>r.</w:t>
            </w:r>
          </w:p>
        </w:tc>
        <w:tc>
          <w:tcPr>
            <w:tcW w:w="3370" w:type="dxa"/>
            <w:vMerge w:val="restart"/>
            <w:vAlign w:val="center"/>
          </w:tcPr>
          <w:p w14:paraId="3034F6B8" w14:textId="77777777" w:rsidR="00F6197F" w:rsidRDefault="00F6197F" w:rsidP="007D2E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Vardas, pavardė</w:t>
            </w:r>
          </w:p>
        </w:tc>
        <w:tc>
          <w:tcPr>
            <w:tcW w:w="1412" w:type="dxa"/>
            <w:vMerge w:val="restart"/>
            <w:vAlign w:val="center"/>
          </w:tcPr>
          <w:p w14:paraId="7AE9BDCB" w14:textId="77777777" w:rsidR="00F6197F" w:rsidRDefault="00F6197F" w:rsidP="007D2E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Gimimo</w:t>
            </w:r>
          </w:p>
          <w:p w14:paraId="7423037D" w14:textId="77777777" w:rsidR="00F6197F" w:rsidRDefault="00F6197F" w:rsidP="007D2E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</w:t>
            </w:r>
          </w:p>
        </w:tc>
        <w:tc>
          <w:tcPr>
            <w:tcW w:w="2458" w:type="dxa"/>
            <w:vMerge w:val="restart"/>
            <w:vAlign w:val="center"/>
          </w:tcPr>
          <w:p w14:paraId="7E49BE3A" w14:textId="77777777" w:rsidR="00F6197F" w:rsidRDefault="00F6197F" w:rsidP="007D2E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Deklaruotos gyvenamosios vietos adresas</w:t>
            </w:r>
          </w:p>
        </w:tc>
        <w:tc>
          <w:tcPr>
            <w:tcW w:w="4253" w:type="dxa"/>
            <w:gridSpan w:val="2"/>
            <w:vAlign w:val="center"/>
          </w:tcPr>
          <w:p w14:paraId="6E13C5F5" w14:textId="77777777" w:rsidR="00F6197F" w:rsidRDefault="00F6197F" w:rsidP="007D2E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Išduotų stabiliojo jodo tablečių kiekis</w:t>
            </w:r>
          </w:p>
        </w:tc>
        <w:tc>
          <w:tcPr>
            <w:tcW w:w="1491" w:type="dxa"/>
            <w:vMerge w:val="restart"/>
            <w:vAlign w:val="center"/>
          </w:tcPr>
          <w:p w14:paraId="079E30D5" w14:textId="77777777" w:rsidR="00F6197F" w:rsidRDefault="00F6197F" w:rsidP="007D2E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Išdavimo</w:t>
            </w:r>
          </w:p>
          <w:p w14:paraId="5AC41359" w14:textId="77777777" w:rsidR="00F6197F" w:rsidRDefault="00F6197F" w:rsidP="007D2E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</w:t>
            </w:r>
          </w:p>
        </w:tc>
        <w:tc>
          <w:tcPr>
            <w:tcW w:w="1894" w:type="dxa"/>
            <w:vMerge w:val="restart"/>
            <w:vAlign w:val="center"/>
          </w:tcPr>
          <w:p w14:paraId="2F273179" w14:textId="68B64105" w:rsidR="00F6197F" w:rsidRDefault="00EC2D68" w:rsidP="007D2E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Davusiojo </w:t>
            </w:r>
            <w:r w:rsidR="00F6197F">
              <w:rPr>
                <w:b/>
                <w:szCs w:val="24"/>
              </w:rPr>
              <w:t>stabiliojo jodo tabletes asmens parašas</w:t>
            </w:r>
          </w:p>
        </w:tc>
      </w:tr>
      <w:tr w:rsidR="00EC2D68" w14:paraId="76A7C270" w14:textId="77777777" w:rsidTr="007D2EE2">
        <w:trPr>
          <w:trHeight w:val="579"/>
        </w:trPr>
        <w:tc>
          <w:tcPr>
            <w:tcW w:w="982" w:type="dxa"/>
            <w:vMerge/>
            <w:vAlign w:val="center"/>
          </w:tcPr>
          <w:p w14:paraId="10006A0C" w14:textId="77777777" w:rsidR="00F6197F" w:rsidRDefault="00F6197F" w:rsidP="007D2EE2">
            <w:pPr>
              <w:jc w:val="center"/>
              <w:rPr>
                <w:b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14:paraId="7AF106A1" w14:textId="77777777" w:rsidR="00F6197F" w:rsidRDefault="00F6197F" w:rsidP="007D2EE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0B983824" w14:textId="77777777" w:rsidR="00F6197F" w:rsidRDefault="00F6197F" w:rsidP="007D2EE2">
            <w:pPr>
              <w:jc w:val="center"/>
              <w:rPr>
                <w:b/>
                <w:szCs w:val="24"/>
              </w:rPr>
            </w:pPr>
          </w:p>
        </w:tc>
        <w:tc>
          <w:tcPr>
            <w:tcW w:w="2458" w:type="dxa"/>
            <w:vMerge/>
            <w:vAlign w:val="center"/>
          </w:tcPr>
          <w:p w14:paraId="69AE750C" w14:textId="77777777" w:rsidR="00F6197F" w:rsidRDefault="00F6197F" w:rsidP="007D2EE2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14:paraId="64CD417F" w14:textId="5BECA185" w:rsidR="00F6197F" w:rsidRDefault="00440596" w:rsidP="007D2E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Kūdikiams nuo </w:t>
            </w:r>
            <w:r>
              <w:rPr>
                <w:b/>
                <w:szCs w:val="24"/>
                <w:lang w:val="en-US"/>
              </w:rPr>
              <w:t>1</w:t>
            </w:r>
            <w:r w:rsidR="00F6197F">
              <w:rPr>
                <w:b/>
                <w:szCs w:val="24"/>
              </w:rPr>
              <w:t xml:space="preserve"> iki </w:t>
            </w:r>
            <w:r>
              <w:rPr>
                <w:b/>
                <w:szCs w:val="24"/>
              </w:rPr>
              <w:t xml:space="preserve"> 3 </w:t>
            </w:r>
            <w:r w:rsidR="00F6197F">
              <w:rPr>
                <w:b/>
                <w:szCs w:val="24"/>
              </w:rPr>
              <w:t xml:space="preserve">metų </w:t>
            </w:r>
          </w:p>
          <w:p w14:paraId="315693CF" w14:textId="3E4D8C92" w:rsidR="00F6197F" w:rsidRDefault="00F6197F" w:rsidP="007D2E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(po </w:t>
            </w:r>
            <w:r w:rsidR="00440596">
              <w:rPr>
                <w:b/>
                <w:szCs w:val="24"/>
              </w:rPr>
              <w:t>0,5</w:t>
            </w:r>
            <w:r>
              <w:rPr>
                <w:b/>
                <w:szCs w:val="24"/>
              </w:rPr>
              <w:t xml:space="preserve"> tabletes vaikui)</w:t>
            </w:r>
          </w:p>
        </w:tc>
        <w:tc>
          <w:tcPr>
            <w:tcW w:w="2410" w:type="dxa"/>
          </w:tcPr>
          <w:p w14:paraId="178AD294" w14:textId="77777777" w:rsidR="00440596" w:rsidRDefault="00440596" w:rsidP="004405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Vaikams iki 12 metų </w:t>
            </w:r>
          </w:p>
          <w:p w14:paraId="4D79CEC4" w14:textId="0D9EFFA6" w:rsidR="00F6197F" w:rsidRDefault="00440596" w:rsidP="004405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(po 1 tabletę vaikui)</w:t>
            </w:r>
          </w:p>
        </w:tc>
        <w:tc>
          <w:tcPr>
            <w:tcW w:w="1491" w:type="dxa"/>
            <w:vMerge/>
            <w:vAlign w:val="center"/>
          </w:tcPr>
          <w:p w14:paraId="54FE1EDA" w14:textId="77777777" w:rsidR="00F6197F" w:rsidRDefault="00F6197F" w:rsidP="007D2EE2">
            <w:pPr>
              <w:jc w:val="center"/>
              <w:rPr>
                <w:b/>
                <w:szCs w:val="24"/>
              </w:rPr>
            </w:pPr>
          </w:p>
        </w:tc>
        <w:tc>
          <w:tcPr>
            <w:tcW w:w="1894" w:type="dxa"/>
            <w:vMerge/>
            <w:vAlign w:val="center"/>
          </w:tcPr>
          <w:p w14:paraId="33F26F62" w14:textId="77777777" w:rsidR="00F6197F" w:rsidRDefault="00F6197F" w:rsidP="007D2EE2">
            <w:pPr>
              <w:jc w:val="center"/>
              <w:rPr>
                <w:b/>
                <w:szCs w:val="24"/>
              </w:rPr>
            </w:pPr>
          </w:p>
        </w:tc>
      </w:tr>
      <w:tr w:rsidR="00EC2D68" w:rsidRPr="0061280C" w14:paraId="6FB493CE" w14:textId="77777777" w:rsidTr="007D2EE2">
        <w:tc>
          <w:tcPr>
            <w:tcW w:w="982" w:type="dxa"/>
          </w:tcPr>
          <w:p w14:paraId="1CDB399A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370" w:type="dxa"/>
          </w:tcPr>
          <w:p w14:paraId="213D869D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12" w:type="dxa"/>
          </w:tcPr>
          <w:p w14:paraId="5061FB51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458" w:type="dxa"/>
          </w:tcPr>
          <w:p w14:paraId="59F33ACD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43" w:type="dxa"/>
          </w:tcPr>
          <w:p w14:paraId="6323A549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410" w:type="dxa"/>
          </w:tcPr>
          <w:p w14:paraId="6988C10D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91" w:type="dxa"/>
          </w:tcPr>
          <w:p w14:paraId="3E630044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94" w:type="dxa"/>
          </w:tcPr>
          <w:p w14:paraId="770E03CC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EC2D68" w:rsidRPr="0061280C" w14:paraId="2306B160" w14:textId="77777777" w:rsidTr="007D2EE2">
        <w:tc>
          <w:tcPr>
            <w:tcW w:w="982" w:type="dxa"/>
          </w:tcPr>
          <w:p w14:paraId="7D9738D9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370" w:type="dxa"/>
          </w:tcPr>
          <w:p w14:paraId="2D6CD624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12" w:type="dxa"/>
          </w:tcPr>
          <w:p w14:paraId="435FFFEA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458" w:type="dxa"/>
          </w:tcPr>
          <w:p w14:paraId="54E98FDE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43" w:type="dxa"/>
          </w:tcPr>
          <w:p w14:paraId="1F412C04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410" w:type="dxa"/>
          </w:tcPr>
          <w:p w14:paraId="22424C4E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91" w:type="dxa"/>
          </w:tcPr>
          <w:p w14:paraId="6475FE50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94" w:type="dxa"/>
          </w:tcPr>
          <w:p w14:paraId="1DAA22D3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EC2D68" w:rsidRPr="0061280C" w14:paraId="74A567E1" w14:textId="77777777" w:rsidTr="007D2EE2">
        <w:tc>
          <w:tcPr>
            <w:tcW w:w="982" w:type="dxa"/>
          </w:tcPr>
          <w:p w14:paraId="52CF769B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370" w:type="dxa"/>
          </w:tcPr>
          <w:p w14:paraId="7C060421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12" w:type="dxa"/>
          </w:tcPr>
          <w:p w14:paraId="0DD94E71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458" w:type="dxa"/>
          </w:tcPr>
          <w:p w14:paraId="64A3009E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43" w:type="dxa"/>
          </w:tcPr>
          <w:p w14:paraId="5C5B96BF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410" w:type="dxa"/>
          </w:tcPr>
          <w:p w14:paraId="40B30610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91" w:type="dxa"/>
          </w:tcPr>
          <w:p w14:paraId="2EFC6423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94" w:type="dxa"/>
          </w:tcPr>
          <w:p w14:paraId="239A61C4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EC2D68" w:rsidRPr="0061280C" w14:paraId="2EC8A102" w14:textId="77777777" w:rsidTr="007D2EE2">
        <w:tc>
          <w:tcPr>
            <w:tcW w:w="982" w:type="dxa"/>
          </w:tcPr>
          <w:p w14:paraId="088F0E1D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370" w:type="dxa"/>
          </w:tcPr>
          <w:p w14:paraId="731D2D3F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12" w:type="dxa"/>
          </w:tcPr>
          <w:p w14:paraId="415DCB5D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458" w:type="dxa"/>
          </w:tcPr>
          <w:p w14:paraId="464F83D4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43" w:type="dxa"/>
          </w:tcPr>
          <w:p w14:paraId="73813C12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410" w:type="dxa"/>
          </w:tcPr>
          <w:p w14:paraId="3FEA797F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91" w:type="dxa"/>
          </w:tcPr>
          <w:p w14:paraId="2143D9D3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94" w:type="dxa"/>
          </w:tcPr>
          <w:p w14:paraId="43084194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EC2D68" w:rsidRPr="0061280C" w14:paraId="78856589" w14:textId="77777777" w:rsidTr="007D2EE2">
        <w:tc>
          <w:tcPr>
            <w:tcW w:w="982" w:type="dxa"/>
          </w:tcPr>
          <w:p w14:paraId="61D5A630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370" w:type="dxa"/>
          </w:tcPr>
          <w:p w14:paraId="5C555ED2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12" w:type="dxa"/>
          </w:tcPr>
          <w:p w14:paraId="522380E5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458" w:type="dxa"/>
          </w:tcPr>
          <w:p w14:paraId="3714AC88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43" w:type="dxa"/>
          </w:tcPr>
          <w:p w14:paraId="2F2BA0FE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410" w:type="dxa"/>
          </w:tcPr>
          <w:p w14:paraId="37CC03F8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91" w:type="dxa"/>
          </w:tcPr>
          <w:p w14:paraId="28C116D0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94" w:type="dxa"/>
          </w:tcPr>
          <w:p w14:paraId="1294FB9D" w14:textId="77777777" w:rsidR="00F6197F" w:rsidRPr="0061280C" w:rsidRDefault="00F6197F" w:rsidP="007D2EE2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690C8E" w:rsidRPr="0061280C" w14:paraId="11CB3CAE" w14:textId="77777777" w:rsidTr="007D2EE2">
        <w:tc>
          <w:tcPr>
            <w:tcW w:w="982" w:type="dxa"/>
          </w:tcPr>
          <w:p w14:paraId="44E8AFB9" w14:textId="77777777" w:rsidR="00690C8E" w:rsidRPr="0061280C" w:rsidRDefault="00690C8E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370" w:type="dxa"/>
          </w:tcPr>
          <w:p w14:paraId="2DAA1590" w14:textId="77777777" w:rsidR="00690C8E" w:rsidRPr="0061280C" w:rsidRDefault="00690C8E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12" w:type="dxa"/>
          </w:tcPr>
          <w:p w14:paraId="710A087B" w14:textId="77777777" w:rsidR="00690C8E" w:rsidRPr="0061280C" w:rsidRDefault="00690C8E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458" w:type="dxa"/>
          </w:tcPr>
          <w:p w14:paraId="28F4485A" w14:textId="77777777" w:rsidR="00690C8E" w:rsidRPr="0061280C" w:rsidRDefault="00690C8E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43" w:type="dxa"/>
          </w:tcPr>
          <w:p w14:paraId="3E886D4D" w14:textId="77777777" w:rsidR="00690C8E" w:rsidRPr="0061280C" w:rsidRDefault="00690C8E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410" w:type="dxa"/>
          </w:tcPr>
          <w:p w14:paraId="12D5FD30" w14:textId="77777777" w:rsidR="00690C8E" w:rsidRPr="0061280C" w:rsidRDefault="00690C8E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91" w:type="dxa"/>
          </w:tcPr>
          <w:p w14:paraId="365EE897" w14:textId="77777777" w:rsidR="00690C8E" w:rsidRPr="0061280C" w:rsidRDefault="00690C8E" w:rsidP="007D2EE2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94" w:type="dxa"/>
          </w:tcPr>
          <w:p w14:paraId="720DADA3" w14:textId="77777777" w:rsidR="00690C8E" w:rsidRPr="0061280C" w:rsidRDefault="00690C8E" w:rsidP="007D2EE2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14:paraId="479A5907" w14:textId="77777777" w:rsidR="00690C8E" w:rsidRDefault="00690C8E" w:rsidP="00855F89">
      <w:pPr>
        <w:ind w:left="10773"/>
        <w:rPr>
          <w:szCs w:val="24"/>
        </w:rPr>
      </w:pPr>
    </w:p>
    <w:p w14:paraId="13368482" w14:textId="77777777" w:rsidR="00690C8E" w:rsidRDefault="00690C8E" w:rsidP="00855F89">
      <w:pPr>
        <w:ind w:left="10773"/>
        <w:rPr>
          <w:szCs w:val="24"/>
        </w:rPr>
      </w:pPr>
    </w:p>
    <w:p w14:paraId="130FF14D" w14:textId="2D862ADF" w:rsidR="00690C8E" w:rsidRDefault="00690C8E" w:rsidP="00855F89">
      <w:pPr>
        <w:ind w:left="10773"/>
        <w:rPr>
          <w:szCs w:val="24"/>
        </w:rPr>
      </w:pPr>
      <w:r>
        <w:rPr>
          <w:szCs w:val="24"/>
        </w:rPr>
        <w:lastRenderedPageBreak/>
        <w:t>S</w:t>
      </w:r>
      <w:r w:rsidR="00855F89" w:rsidRPr="004247AE">
        <w:rPr>
          <w:szCs w:val="24"/>
        </w:rPr>
        <w:t xml:space="preserve">tabiliojo jodo preparatų paskirstymo </w:t>
      </w:r>
      <w:r w:rsidR="00855F89">
        <w:rPr>
          <w:szCs w:val="24"/>
        </w:rPr>
        <w:t xml:space="preserve">ir išdavimo </w:t>
      </w:r>
      <w:r w:rsidR="00855F89" w:rsidRPr="004247AE">
        <w:rPr>
          <w:szCs w:val="24"/>
        </w:rPr>
        <w:t>tvarkos aprašo</w:t>
      </w:r>
    </w:p>
    <w:p w14:paraId="5765E848" w14:textId="7DE5D20E" w:rsidR="00855F89" w:rsidRPr="004247AE" w:rsidRDefault="00690C8E" w:rsidP="00855F89">
      <w:pPr>
        <w:ind w:left="10773"/>
        <w:rPr>
          <w:szCs w:val="24"/>
        </w:rPr>
      </w:pPr>
      <w:bookmarkStart w:id="2" w:name="_Hlk89860729"/>
      <w:r>
        <w:rPr>
          <w:szCs w:val="24"/>
        </w:rPr>
        <w:t>(Įsak.Nr.V-164, 2021-12-08),</w:t>
      </w:r>
    </w:p>
    <w:p w14:paraId="7B8CFAFA" w14:textId="77777777" w:rsidR="00855F89" w:rsidRDefault="0048492C" w:rsidP="00855F89">
      <w:pPr>
        <w:spacing w:line="276" w:lineRule="auto"/>
        <w:ind w:left="10773"/>
        <w:rPr>
          <w:szCs w:val="24"/>
        </w:rPr>
      </w:pPr>
      <w:r>
        <w:rPr>
          <w:szCs w:val="24"/>
        </w:rPr>
        <w:t>2</w:t>
      </w:r>
      <w:r w:rsidR="00855F89" w:rsidRPr="007519EC">
        <w:rPr>
          <w:szCs w:val="24"/>
        </w:rPr>
        <w:t xml:space="preserve"> priedas</w:t>
      </w:r>
    </w:p>
    <w:bookmarkEnd w:id="2"/>
    <w:p w14:paraId="6A854D71" w14:textId="77777777" w:rsidR="00855F89" w:rsidRDefault="00855F89" w:rsidP="00855F89">
      <w:pPr>
        <w:spacing w:line="276" w:lineRule="auto"/>
        <w:ind w:left="5245"/>
        <w:jc w:val="center"/>
        <w:rPr>
          <w:szCs w:val="24"/>
        </w:rPr>
      </w:pPr>
    </w:p>
    <w:p w14:paraId="16F8D560" w14:textId="4D2BE983" w:rsidR="00855F89" w:rsidRPr="009205C9" w:rsidRDefault="00440596" w:rsidP="00855F89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VILNIAUS </w:t>
      </w:r>
      <w:r w:rsidR="00855F89">
        <w:rPr>
          <w:b/>
          <w:szCs w:val="24"/>
        </w:rPr>
        <w:t xml:space="preserve"> SAVIVALDYBĖS </w:t>
      </w:r>
      <w:r>
        <w:rPr>
          <w:b/>
          <w:szCs w:val="24"/>
        </w:rPr>
        <w:t xml:space="preserve">GRIGIŠKIŲ LOPŠELIO-DARŽELIO,,PELĖDŽIUKAS“  KŪDIKIŲ NUO </w:t>
      </w:r>
      <w:r>
        <w:rPr>
          <w:b/>
          <w:szCs w:val="24"/>
          <w:lang w:val="en-US"/>
        </w:rPr>
        <w:t>1 IKI 3 MET</w:t>
      </w:r>
      <w:r>
        <w:rPr>
          <w:b/>
          <w:szCs w:val="24"/>
        </w:rPr>
        <w:t xml:space="preserve">Ų, </w:t>
      </w:r>
      <w:r w:rsidRPr="00F63CFB">
        <w:rPr>
          <w:b/>
          <w:szCs w:val="24"/>
        </w:rPr>
        <w:t>VAIKŲ NUO 3 IKI 12 MET</w:t>
      </w:r>
      <w:r>
        <w:rPr>
          <w:b/>
          <w:szCs w:val="24"/>
        </w:rPr>
        <w:t>Ų TĖVŲ</w:t>
      </w:r>
      <w:r w:rsidR="00EC2D68">
        <w:rPr>
          <w:b/>
          <w:szCs w:val="24"/>
        </w:rPr>
        <w:t>, VAIKŲ ATSTOVŲ, DAVUSIŲJŲ SUTIKIMĄ</w:t>
      </w:r>
      <w:r>
        <w:rPr>
          <w:b/>
          <w:szCs w:val="24"/>
        </w:rPr>
        <w:t xml:space="preserve"> </w:t>
      </w:r>
      <w:r w:rsidR="00855F89" w:rsidRPr="004247AE">
        <w:rPr>
          <w:b/>
          <w:szCs w:val="24"/>
        </w:rPr>
        <w:t>SĄRAŠAS</w:t>
      </w:r>
    </w:p>
    <w:p w14:paraId="631E77E0" w14:textId="77777777" w:rsidR="00855F89" w:rsidRDefault="00855F89" w:rsidP="00855F89">
      <w:pPr>
        <w:jc w:val="center"/>
        <w:rPr>
          <w:b/>
          <w:szCs w:val="24"/>
        </w:rPr>
      </w:pPr>
    </w:p>
    <w:tbl>
      <w:tblPr>
        <w:tblStyle w:val="Lentelstinklelis"/>
        <w:tblW w:w="15588" w:type="dxa"/>
        <w:tblLook w:val="04A0" w:firstRow="1" w:lastRow="0" w:firstColumn="1" w:lastColumn="0" w:noHBand="0" w:noVBand="1"/>
      </w:tblPr>
      <w:tblGrid>
        <w:gridCol w:w="966"/>
        <w:gridCol w:w="3410"/>
        <w:gridCol w:w="1934"/>
        <w:gridCol w:w="3710"/>
        <w:gridCol w:w="3725"/>
        <w:gridCol w:w="1843"/>
      </w:tblGrid>
      <w:tr w:rsidR="004229AE" w14:paraId="0AE94FC0" w14:textId="77777777" w:rsidTr="004229AE">
        <w:tc>
          <w:tcPr>
            <w:tcW w:w="966" w:type="dxa"/>
            <w:vAlign w:val="center"/>
          </w:tcPr>
          <w:p w14:paraId="22E9A877" w14:textId="77777777" w:rsidR="004229AE" w:rsidRDefault="004229AE" w:rsidP="00086F4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</w:t>
            </w:r>
          </w:p>
          <w:p w14:paraId="78F099C5" w14:textId="77777777" w:rsidR="004229AE" w:rsidRDefault="00F63CFB" w:rsidP="00086F4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="004229AE">
              <w:rPr>
                <w:b/>
                <w:szCs w:val="24"/>
              </w:rPr>
              <w:t>r.</w:t>
            </w:r>
          </w:p>
        </w:tc>
        <w:tc>
          <w:tcPr>
            <w:tcW w:w="3410" w:type="dxa"/>
            <w:vAlign w:val="center"/>
          </w:tcPr>
          <w:p w14:paraId="414811C7" w14:textId="77777777" w:rsidR="004229AE" w:rsidRDefault="004229AE" w:rsidP="00086F4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Vardas, pavardė</w:t>
            </w:r>
          </w:p>
        </w:tc>
        <w:tc>
          <w:tcPr>
            <w:tcW w:w="1934" w:type="dxa"/>
            <w:vAlign w:val="center"/>
          </w:tcPr>
          <w:p w14:paraId="04DED8D6" w14:textId="77777777" w:rsidR="004229AE" w:rsidRDefault="004229AE" w:rsidP="00086F4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Gimimo</w:t>
            </w:r>
          </w:p>
          <w:p w14:paraId="74313F8A" w14:textId="77777777" w:rsidR="004229AE" w:rsidRDefault="004229AE" w:rsidP="00086F4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</w:t>
            </w:r>
          </w:p>
        </w:tc>
        <w:tc>
          <w:tcPr>
            <w:tcW w:w="3710" w:type="dxa"/>
            <w:vAlign w:val="center"/>
          </w:tcPr>
          <w:p w14:paraId="205F7B02" w14:textId="77777777" w:rsidR="004229AE" w:rsidRDefault="004229AE" w:rsidP="00086F4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Nuolatinės gyvenamosios vietos adresas</w:t>
            </w:r>
          </w:p>
        </w:tc>
        <w:tc>
          <w:tcPr>
            <w:tcW w:w="3725" w:type="dxa"/>
            <w:vAlign w:val="center"/>
          </w:tcPr>
          <w:p w14:paraId="09FEC888" w14:textId="77777777" w:rsidR="004229AE" w:rsidRDefault="004229AE" w:rsidP="00086F45">
            <w:pPr>
              <w:jc w:val="center"/>
              <w:rPr>
                <w:b/>
                <w:szCs w:val="24"/>
              </w:rPr>
            </w:pPr>
            <w:r w:rsidRPr="004229AE">
              <w:rPr>
                <w:b/>
                <w:szCs w:val="24"/>
              </w:rPr>
              <w:t>Deklaruotos gyvenamosios vietos adresas</w:t>
            </w:r>
          </w:p>
        </w:tc>
        <w:tc>
          <w:tcPr>
            <w:tcW w:w="1843" w:type="dxa"/>
            <w:vAlign w:val="center"/>
          </w:tcPr>
          <w:p w14:paraId="0E5FC3DB" w14:textId="77777777" w:rsidR="004229AE" w:rsidRDefault="004229AE" w:rsidP="00086F4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Asmens parašas</w:t>
            </w:r>
          </w:p>
        </w:tc>
      </w:tr>
      <w:tr w:rsidR="004229AE" w:rsidRPr="0061280C" w14:paraId="21F0B9C2" w14:textId="77777777" w:rsidTr="004229AE">
        <w:tc>
          <w:tcPr>
            <w:tcW w:w="966" w:type="dxa"/>
          </w:tcPr>
          <w:p w14:paraId="33A52C27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410" w:type="dxa"/>
          </w:tcPr>
          <w:p w14:paraId="629B9EDF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934" w:type="dxa"/>
          </w:tcPr>
          <w:p w14:paraId="072AAE87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710" w:type="dxa"/>
          </w:tcPr>
          <w:p w14:paraId="0B761889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725" w:type="dxa"/>
          </w:tcPr>
          <w:p w14:paraId="4C97E8AE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43" w:type="dxa"/>
          </w:tcPr>
          <w:p w14:paraId="7AC63BCA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4229AE" w:rsidRPr="0061280C" w14:paraId="76A2E367" w14:textId="77777777" w:rsidTr="004229AE">
        <w:tc>
          <w:tcPr>
            <w:tcW w:w="966" w:type="dxa"/>
          </w:tcPr>
          <w:p w14:paraId="2B13073E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410" w:type="dxa"/>
          </w:tcPr>
          <w:p w14:paraId="14099F1B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934" w:type="dxa"/>
          </w:tcPr>
          <w:p w14:paraId="50299085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710" w:type="dxa"/>
          </w:tcPr>
          <w:p w14:paraId="659A239E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725" w:type="dxa"/>
          </w:tcPr>
          <w:p w14:paraId="6555546A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43" w:type="dxa"/>
          </w:tcPr>
          <w:p w14:paraId="1594558E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4229AE" w:rsidRPr="0061280C" w14:paraId="31CDFD97" w14:textId="77777777" w:rsidTr="004229AE">
        <w:tc>
          <w:tcPr>
            <w:tcW w:w="966" w:type="dxa"/>
          </w:tcPr>
          <w:p w14:paraId="61FAD6CF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410" w:type="dxa"/>
          </w:tcPr>
          <w:p w14:paraId="6F0FAEB8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934" w:type="dxa"/>
          </w:tcPr>
          <w:p w14:paraId="47AEBBC9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710" w:type="dxa"/>
          </w:tcPr>
          <w:p w14:paraId="1566DA13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725" w:type="dxa"/>
          </w:tcPr>
          <w:p w14:paraId="25C8CC64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43" w:type="dxa"/>
          </w:tcPr>
          <w:p w14:paraId="2355E8BA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4229AE" w:rsidRPr="0061280C" w14:paraId="13A63F18" w14:textId="77777777" w:rsidTr="004229AE">
        <w:tc>
          <w:tcPr>
            <w:tcW w:w="966" w:type="dxa"/>
          </w:tcPr>
          <w:p w14:paraId="46865169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410" w:type="dxa"/>
          </w:tcPr>
          <w:p w14:paraId="29EE14E5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934" w:type="dxa"/>
          </w:tcPr>
          <w:p w14:paraId="2DA45050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710" w:type="dxa"/>
          </w:tcPr>
          <w:p w14:paraId="13A9CC9B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725" w:type="dxa"/>
          </w:tcPr>
          <w:p w14:paraId="741B0AFB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43" w:type="dxa"/>
          </w:tcPr>
          <w:p w14:paraId="4C81339F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4229AE" w:rsidRPr="0061280C" w14:paraId="4B044C96" w14:textId="77777777" w:rsidTr="004229AE">
        <w:tc>
          <w:tcPr>
            <w:tcW w:w="966" w:type="dxa"/>
          </w:tcPr>
          <w:p w14:paraId="6BCF3782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410" w:type="dxa"/>
          </w:tcPr>
          <w:p w14:paraId="0791747C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934" w:type="dxa"/>
          </w:tcPr>
          <w:p w14:paraId="722E6F11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710" w:type="dxa"/>
          </w:tcPr>
          <w:p w14:paraId="7A67DDF4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725" w:type="dxa"/>
          </w:tcPr>
          <w:p w14:paraId="7DBAC05D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43" w:type="dxa"/>
          </w:tcPr>
          <w:p w14:paraId="0072B131" w14:textId="77777777" w:rsidR="004229AE" w:rsidRPr="0061280C" w:rsidRDefault="004229AE" w:rsidP="00086F45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EE212F" w:rsidRPr="0061280C" w14:paraId="6FBE7529" w14:textId="77777777" w:rsidTr="004229AE">
        <w:tc>
          <w:tcPr>
            <w:tcW w:w="966" w:type="dxa"/>
          </w:tcPr>
          <w:p w14:paraId="5404D992" w14:textId="78A1881F" w:rsidR="00EE212F" w:rsidRPr="0061280C" w:rsidRDefault="00EE212F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410" w:type="dxa"/>
          </w:tcPr>
          <w:p w14:paraId="591BA0D0" w14:textId="77777777" w:rsidR="00EE212F" w:rsidRPr="0061280C" w:rsidRDefault="00EE212F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934" w:type="dxa"/>
          </w:tcPr>
          <w:p w14:paraId="13F51F2F" w14:textId="77777777" w:rsidR="00EE212F" w:rsidRPr="0061280C" w:rsidRDefault="00EE212F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710" w:type="dxa"/>
          </w:tcPr>
          <w:p w14:paraId="3DBA1CD3" w14:textId="77777777" w:rsidR="00EE212F" w:rsidRPr="0061280C" w:rsidRDefault="00EE212F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725" w:type="dxa"/>
          </w:tcPr>
          <w:p w14:paraId="27F0A0D2" w14:textId="77777777" w:rsidR="00EE212F" w:rsidRPr="0061280C" w:rsidRDefault="00EE212F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43" w:type="dxa"/>
          </w:tcPr>
          <w:p w14:paraId="55566DC8" w14:textId="77777777" w:rsidR="00EE212F" w:rsidRPr="0061280C" w:rsidRDefault="00EE212F" w:rsidP="00086F45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EE212F" w:rsidRPr="0061280C" w14:paraId="05CBE4E2" w14:textId="77777777" w:rsidTr="004229AE">
        <w:tc>
          <w:tcPr>
            <w:tcW w:w="966" w:type="dxa"/>
          </w:tcPr>
          <w:p w14:paraId="75A6AFBE" w14:textId="77777777" w:rsidR="00EE212F" w:rsidRPr="0061280C" w:rsidRDefault="00EE212F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410" w:type="dxa"/>
          </w:tcPr>
          <w:p w14:paraId="16B103C3" w14:textId="77777777" w:rsidR="00EE212F" w:rsidRPr="0061280C" w:rsidRDefault="00EE212F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934" w:type="dxa"/>
          </w:tcPr>
          <w:p w14:paraId="1FEA0D82" w14:textId="77777777" w:rsidR="00EE212F" w:rsidRPr="0061280C" w:rsidRDefault="00EE212F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710" w:type="dxa"/>
          </w:tcPr>
          <w:p w14:paraId="7114FA82" w14:textId="77777777" w:rsidR="00EE212F" w:rsidRPr="0061280C" w:rsidRDefault="00EE212F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3725" w:type="dxa"/>
          </w:tcPr>
          <w:p w14:paraId="4CDB359A" w14:textId="77777777" w:rsidR="00EE212F" w:rsidRPr="0061280C" w:rsidRDefault="00EE212F" w:rsidP="00086F4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43" w:type="dxa"/>
          </w:tcPr>
          <w:p w14:paraId="10A42FD6" w14:textId="77777777" w:rsidR="00EE212F" w:rsidRPr="0061280C" w:rsidRDefault="00EE212F" w:rsidP="00086F45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14:paraId="7EFB01A3" w14:textId="77777777" w:rsidR="00855F89" w:rsidRDefault="00855F89" w:rsidP="00855F89">
      <w:pPr>
        <w:jc w:val="center"/>
        <w:rPr>
          <w:b/>
          <w:szCs w:val="24"/>
        </w:rPr>
      </w:pPr>
    </w:p>
    <w:p w14:paraId="47F659B8" w14:textId="77777777" w:rsidR="00855F89" w:rsidRPr="00C87F00" w:rsidRDefault="00E5225C" w:rsidP="00C87F00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</w:t>
      </w:r>
    </w:p>
    <w:sectPr w:rsidR="00855F89" w:rsidRPr="00C87F00" w:rsidSect="00690C8E">
      <w:pgSz w:w="16838" w:h="11906" w:orient="landscape" w:code="9"/>
      <w:pgMar w:top="993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9CB3" w14:textId="77777777" w:rsidR="00D442F2" w:rsidRDefault="00D442F2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069DB92" w14:textId="77777777" w:rsidR="00D442F2" w:rsidRDefault="00D442F2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5EC0" w14:textId="77777777" w:rsidR="0058675E" w:rsidRDefault="0058675E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5B95" w14:textId="77777777" w:rsidR="0058675E" w:rsidRDefault="0058675E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3B0C" w14:textId="77777777" w:rsidR="0058675E" w:rsidRDefault="0058675E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49DC" w14:textId="77777777" w:rsidR="00D442F2" w:rsidRDefault="00D442F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DEAD45A" w14:textId="77777777" w:rsidR="00D442F2" w:rsidRDefault="00D442F2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DF8F" w14:textId="77777777" w:rsidR="0058675E" w:rsidRDefault="0058675E">
    <w:pPr>
      <w:tabs>
        <w:tab w:val="center" w:pos="4320"/>
        <w:tab w:val="right" w:pos="8640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421099"/>
      <w:docPartObj>
        <w:docPartGallery w:val="Page Numbers (Top of Page)"/>
        <w:docPartUnique/>
      </w:docPartObj>
    </w:sdtPr>
    <w:sdtEndPr/>
    <w:sdtContent>
      <w:p w14:paraId="70708E43" w14:textId="77777777" w:rsidR="00D46573" w:rsidRDefault="00D465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CA6">
          <w:rPr>
            <w:noProof/>
          </w:rPr>
          <w:t>6</w:t>
        </w:r>
        <w:r>
          <w:fldChar w:fldCharType="end"/>
        </w:r>
      </w:p>
    </w:sdtContent>
  </w:sdt>
  <w:p w14:paraId="290E918F" w14:textId="77777777" w:rsidR="0058675E" w:rsidRPr="000214DE" w:rsidRDefault="0058675E" w:rsidP="000214D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C9D5" w14:textId="77777777" w:rsidR="001E204A" w:rsidRDefault="001E204A">
    <w:pPr>
      <w:pStyle w:val="Antrats"/>
      <w:jc w:val="center"/>
    </w:pPr>
  </w:p>
  <w:p w14:paraId="1B03E57F" w14:textId="77777777" w:rsidR="0058675E" w:rsidRDefault="0058675E">
    <w:pPr>
      <w:tabs>
        <w:tab w:val="center" w:pos="4320"/>
        <w:tab w:val="right" w:pos="8640"/>
      </w:tabs>
      <w:rPr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F6402"/>
    <w:multiLevelType w:val="hybridMultilevel"/>
    <w:tmpl w:val="F96C2D90"/>
    <w:lvl w:ilvl="0" w:tplc="B5A6195A">
      <w:start w:val="2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A713E"/>
    <w:multiLevelType w:val="hybridMultilevel"/>
    <w:tmpl w:val="EE12ED4C"/>
    <w:lvl w:ilvl="0" w:tplc="B8A29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B7454"/>
    <w:multiLevelType w:val="multilevel"/>
    <w:tmpl w:val="EAB48CC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601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CB"/>
    <w:rsid w:val="0000160B"/>
    <w:rsid w:val="00012EED"/>
    <w:rsid w:val="00020D82"/>
    <w:rsid w:val="000214DE"/>
    <w:rsid w:val="00025ECB"/>
    <w:rsid w:val="000330F8"/>
    <w:rsid w:val="00045F5C"/>
    <w:rsid w:val="000504CB"/>
    <w:rsid w:val="000516F5"/>
    <w:rsid w:val="00066B9D"/>
    <w:rsid w:val="00067503"/>
    <w:rsid w:val="000702F6"/>
    <w:rsid w:val="00073CE2"/>
    <w:rsid w:val="00076B3A"/>
    <w:rsid w:val="00077844"/>
    <w:rsid w:val="000968FB"/>
    <w:rsid w:val="00096F7F"/>
    <w:rsid w:val="000A4B51"/>
    <w:rsid w:val="000A550A"/>
    <w:rsid w:val="000A62FF"/>
    <w:rsid w:val="000B125E"/>
    <w:rsid w:val="000C5AAE"/>
    <w:rsid w:val="000F08EA"/>
    <w:rsid w:val="000F6FB0"/>
    <w:rsid w:val="00106EBC"/>
    <w:rsid w:val="00116BEC"/>
    <w:rsid w:val="00122BB8"/>
    <w:rsid w:val="001254EA"/>
    <w:rsid w:val="00132E87"/>
    <w:rsid w:val="00151AF7"/>
    <w:rsid w:val="00172EDC"/>
    <w:rsid w:val="001819A3"/>
    <w:rsid w:val="00192210"/>
    <w:rsid w:val="0019382F"/>
    <w:rsid w:val="00197CCC"/>
    <w:rsid w:val="001A46AE"/>
    <w:rsid w:val="001B3927"/>
    <w:rsid w:val="001B3C8B"/>
    <w:rsid w:val="001E204A"/>
    <w:rsid w:val="001F4A21"/>
    <w:rsid w:val="001F4F90"/>
    <w:rsid w:val="002012FA"/>
    <w:rsid w:val="002058D3"/>
    <w:rsid w:val="00211819"/>
    <w:rsid w:val="0021459B"/>
    <w:rsid w:val="0021764D"/>
    <w:rsid w:val="0023224B"/>
    <w:rsid w:val="0023780D"/>
    <w:rsid w:val="00244D97"/>
    <w:rsid w:val="00250AC9"/>
    <w:rsid w:val="00254CCD"/>
    <w:rsid w:val="00264F58"/>
    <w:rsid w:val="00267DA3"/>
    <w:rsid w:val="00286B24"/>
    <w:rsid w:val="002A59D6"/>
    <w:rsid w:val="002A672F"/>
    <w:rsid w:val="002D5B73"/>
    <w:rsid w:val="002E1AF5"/>
    <w:rsid w:val="002E28A6"/>
    <w:rsid w:val="002F18A1"/>
    <w:rsid w:val="002F3A1F"/>
    <w:rsid w:val="00302E9A"/>
    <w:rsid w:val="003030D4"/>
    <w:rsid w:val="00317DED"/>
    <w:rsid w:val="003223E8"/>
    <w:rsid w:val="0032579B"/>
    <w:rsid w:val="00327FDD"/>
    <w:rsid w:val="0033268F"/>
    <w:rsid w:val="003750F2"/>
    <w:rsid w:val="003A787F"/>
    <w:rsid w:val="003B1A3F"/>
    <w:rsid w:val="003B5FAA"/>
    <w:rsid w:val="003C67C8"/>
    <w:rsid w:val="003D17F2"/>
    <w:rsid w:val="003D36F4"/>
    <w:rsid w:val="003D5F42"/>
    <w:rsid w:val="003E6B36"/>
    <w:rsid w:val="003F7333"/>
    <w:rsid w:val="00402918"/>
    <w:rsid w:val="00406ED8"/>
    <w:rsid w:val="00407BD9"/>
    <w:rsid w:val="004229AE"/>
    <w:rsid w:val="004247AE"/>
    <w:rsid w:val="00433718"/>
    <w:rsid w:val="00440596"/>
    <w:rsid w:val="00442C5C"/>
    <w:rsid w:val="0044477A"/>
    <w:rsid w:val="00457CB5"/>
    <w:rsid w:val="00480839"/>
    <w:rsid w:val="00482A69"/>
    <w:rsid w:val="0048492C"/>
    <w:rsid w:val="00487AE9"/>
    <w:rsid w:val="00496EDF"/>
    <w:rsid w:val="004B164D"/>
    <w:rsid w:val="004C7B16"/>
    <w:rsid w:val="004D5E7D"/>
    <w:rsid w:val="004E0351"/>
    <w:rsid w:val="004F3A18"/>
    <w:rsid w:val="005057C0"/>
    <w:rsid w:val="00513BE1"/>
    <w:rsid w:val="0052089B"/>
    <w:rsid w:val="00524FC1"/>
    <w:rsid w:val="005264D5"/>
    <w:rsid w:val="00527CA6"/>
    <w:rsid w:val="005365E3"/>
    <w:rsid w:val="00536714"/>
    <w:rsid w:val="005652C2"/>
    <w:rsid w:val="0058675E"/>
    <w:rsid w:val="005A1261"/>
    <w:rsid w:val="005C40C4"/>
    <w:rsid w:val="005C440E"/>
    <w:rsid w:val="005D03AA"/>
    <w:rsid w:val="005E401F"/>
    <w:rsid w:val="005E5CC6"/>
    <w:rsid w:val="005F4FEE"/>
    <w:rsid w:val="005F7981"/>
    <w:rsid w:val="0060339D"/>
    <w:rsid w:val="0061280C"/>
    <w:rsid w:val="00616226"/>
    <w:rsid w:val="006324CA"/>
    <w:rsid w:val="00634D97"/>
    <w:rsid w:val="00636DF1"/>
    <w:rsid w:val="00637385"/>
    <w:rsid w:val="006458E0"/>
    <w:rsid w:val="00650883"/>
    <w:rsid w:val="00654D2B"/>
    <w:rsid w:val="00655864"/>
    <w:rsid w:val="006560C2"/>
    <w:rsid w:val="006578DC"/>
    <w:rsid w:val="0066784A"/>
    <w:rsid w:val="006819E5"/>
    <w:rsid w:val="00690C8E"/>
    <w:rsid w:val="00692184"/>
    <w:rsid w:val="00693A16"/>
    <w:rsid w:val="006958B3"/>
    <w:rsid w:val="006A30D7"/>
    <w:rsid w:val="006A4208"/>
    <w:rsid w:val="006C1102"/>
    <w:rsid w:val="006D1158"/>
    <w:rsid w:val="006E385B"/>
    <w:rsid w:val="006E5D03"/>
    <w:rsid w:val="006F5E0C"/>
    <w:rsid w:val="006F7006"/>
    <w:rsid w:val="0071584D"/>
    <w:rsid w:val="00723548"/>
    <w:rsid w:val="00726F28"/>
    <w:rsid w:val="00730996"/>
    <w:rsid w:val="00736D80"/>
    <w:rsid w:val="00746191"/>
    <w:rsid w:val="00756CCB"/>
    <w:rsid w:val="00764E3D"/>
    <w:rsid w:val="0077647A"/>
    <w:rsid w:val="007847B9"/>
    <w:rsid w:val="007A693C"/>
    <w:rsid w:val="007B7098"/>
    <w:rsid w:val="007D11F5"/>
    <w:rsid w:val="007D57CB"/>
    <w:rsid w:val="007F170B"/>
    <w:rsid w:val="007F5A84"/>
    <w:rsid w:val="00855C56"/>
    <w:rsid w:val="00855F89"/>
    <w:rsid w:val="00866EFE"/>
    <w:rsid w:val="00890C81"/>
    <w:rsid w:val="008A2762"/>
    <w:rsid w:val="008A3D1A"/>
    <w:rsid w:val="008A4F93"/>
    <w:rsid w:val="008C60E2"/>
    <w:rsid w:val="008E05BC"/>
    <w:rsid w:val="008E08F5"/>
    <w:rsid w:val="008E2CB6"/>
    <w:rsid w:val="008E3799"/>
    <w:rsid w:val="008F1B0E"/>
    <w:rsid w:val="00906A16"/>
    <w:rsid w:val="00910F4A"/>
    <w:rsid w:val="009205C9"/>
    <w:rsid w:val="009248E2"/>
    <w:rsid w:val="00925086"/>
    <w:rsid w:val="00943AA7"/>
    <w:rsid w:val="00971FEC"/>
    <w:rsid w:val="009966B2"/>
    <w:rsid w:val="009A155A"/>
    <w:rsid w:val="009A62AD"/>
    <w:rsid w:val="009C43DD"/>
    <w:rsid w:val="009F0098"/>
    <w:rsid w:val="00A05185"/>
    <w:rsid w:val="00A147C2"/>
    <w:rsid w:val="00A16012"/>
    <w:rsid w:val="00A266BF"/>
    <w:rsid w:val="00A56000"/>
    <w:rsid w:val="00A804D8"/>
    <w:rsid w:val="00A816C6"/>
    <w:rsid w:val="00A926D9"/>
    <w:rsid w:val="00A95446"/>
    <w:rsid w:val="00A95F57"/>
    <w:rsid w:val="00AB03E0"/>
    <w:rsid w:val="00AC43C5"/>
    <w:rsid w:val="00AF6737"/>
    <w:rsid w:val="00B03AAE"/>
    <w:rsid w:val="00B03EB8"/>
    <w:rsid w:val="00B12358"/>
    <w:rsid w:val="00B13314"/>
    <w:rsid w:val="00B16AD6"/>
    <w:rsid w:val="00B240A5"/>
    <w:rsid w:val="00B372C2"/>
    <w:rsid w:val="00B43666"/>
    <w:rsid w:val="00B62898"/>
    <w:rsid w:val="00B745B1"/>
    <w:rsid w:val="00B92041"/>
    <w:rsid w:val="00BA34E6"/>
    <w:rsid w:val="00BA6879"/>
    <w:rsid w:val="00BB0F11"/>
    <w:rsid w:val="00BB5BF8"/>
    <w:rsid w:val="00BB671F"/>
    <w:rsid w:val="00BC708E"/>
    <w:rsid w:val="00BD5DA8"/>
    <w:rsid w:val="00BE5ED1"/>
    <w:rsid w:val="00C15E7C"/>
    <w:rsid w:val="00C23D87"/>
    <w:rsid w:val="00C26EC6"/>
    <w:rsid w:val="00C515FF"/>
    <w:rsid w:val="00C54670"/>
    <w:rsid w:val="00C659B3"/>
    <w:rsid w:val="00C67B27"/>
    <w:rsid w:val="00C85DF9"/>
    <w:rsid w:val="00C86B04"/>
    <w:rsid w:val="00C87F00"/>
    <w:rsid w:val="00C9387E"/>
    <w:rsid w:val="00CD6DF4"/>
    <w:rsid w:val="00D027E2"/>
    <w:rsid w:val="00D14E71"/>
    <w:rsid w:val="00D22175"/>
    <w:rsid w:val="00D442F2"/>
    <w:rsid w:val="00D46573"/>
    <w:rsid w:val="00D5415A"/>
    <w:rsid w:val="00D57D4B"/>
    <w:rsid w:val="00D60E5B"/>
    <w:rsid w:val="00D83B30"/>
    <w:rsid w:val="00DB0222"/>
    <w:rsid w:val="00DC1847"/>
    <w:rsid w:val="00DC1C84"/>
    <w:rsid w:val="00E0223B"/>
    <w:rsid w:val="00E0684D"/>
    <w:rsid w:val="00E12524"/>
    <w:rsid w:val="00E3152B"/>
    <w:rsid w:val="00E455B0"/>
    <w:rsid w:val="00E50A39"/>
    <w:rsid w:val="00E51435"/>
    <w:rsid w:val="00E5225C"/>
    <w:rsid w:val="00E66F2A"/>
    <w:rsid w:val="00E73DC9"/>
    <w:rsid w:val="00E75BA0"/>
    <w:rsid w:val="00E829FB"/>
    <w:rsid w:val="00E8793B"/>
    <w:rsid w:val="00E97873"/>
    <w:rsid w:val="00EA179C"/>
    <w:rsid w:val="00EA5683"/>
    <w:rsid w:val="00EB6D52"/>
    <w:rsid w:val="00EC05CE"/>
    <w:rsid w:val="00EC2D68"/>
    <w:rsid w:val="00EC3B47"/>
    <w:rsid w:val="00EE212F"/>
    <w:rsid w:val="00EE23F5"/>
    <w:rsid w:val="00F159B4"/>
    <w:rsid w:val="00F25576"/>
    <w:rsid w:val="00F31451"/>
    <w:rsid w:val="00F34CE5"/>
    <w:rsid w:val="00F35EE1"/>
    <w:rsid w:val="00F51666"/>
    <w:rsid w:val="00F6197F"/>
    <w:rsid w:val="00F63CFB"/>
    <w:rsid w:val="00F64E07"/>
    <w:rsid w:val="00F66D6D"/>
    <w:rsid w:val="00F66FA7"/>
    <w:rsid w:val="00F93AE0"/>
    <w:rsid w:val="00F973EB"/>
    <w:rsid w:val="00F975B9"/>
    <w:rsid w:val="00FB1DF5"/>
    <w:rsid w:val="00FC000F"/>
    <w:rsid w:val="00FC1D39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64D024"/>
  <w15:docId w15:val="{7A170332-BC84-4E0A-88F6-F84C2FB7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D5F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16BEC"/>
    <w:rPr>
      <w:color w:val="808080"/>
    </w:rPr>
  </w:style>
  <w:style w:type="table" w:styleId="Lentelstinklelis">
    <w:name w:val="Table Grid"/>
    <w:basedOn w:val="prastojilentel"/>
    <w:rsid w:val="003A7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unhideWhenUsed/>
    <w:rsid w:val="000C5AA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0C5AA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12358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12358"/>
    <w:rPr>
      <w:rFonts w:asciiTheme="minorHAnsi" w:eastAsiaTheme="minorEastAsia" w:hAnsiTheme="minorHAnsi"/>
      <w:sz w:val="22"/>
      <w:szCs w:val="22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3780D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A1261"/>
    <w:pPr>
      <w:ind w:left="720"/>
      <w:contextualSpacing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DDE7-509E-4ABA-842D-E2C08D09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2732</Words>
  <Characters>1558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ELEKTRENU SAVIVALDYBE</Company>
  <LinksUpToDate>false</LinksUpToDate>
  <CharactersWithSpaces>4282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!!!!</dc:creator>
  <cp:lastModifiedBy>Direktorė</cp:lastModifiedBy>
  <cp:revision>10</cp:revision>
  <cp:lastPrinted>2021-12-08T11:00:00Z</cp:lastPrinted>
  <dcterms:created xsi:type="dcterms:W3CDTF">2021-10-28T12:37:00Z</dcterms:created>
  <dcterms:modified xsi:type="dcterms:W3CDTF">2021-12-08T11:18:00Z</dcterms:modified>
</cp:coreProperties>
</file>